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50.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1.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2.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3.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4.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5.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6.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7.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8.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9.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60.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1.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2.xml" ContentType="application/vnd.openxmlformats-officedocument.drawingml.chart+xml"/>
  <Override PartName="/word/charts/style61.xml" ContentType="application/vnd.ms-office.chartstyle+xml"/>
  <Override PartName="/word/charts/colors61.xml" ContentType="application/vnd.ms-office.chartcolorstyle+xml"/>
  <Override PartName="/word/charts/chart63.xml" ContentType="application/vnd.openxmlformats-officedocument.drawingml.chart+xml"/>
  <Override PartName="/word/charts/style62.xml" ContentType="application/vnd.ms-office.chartstyle+xml"/>
  <Override PartName="/word/charts/colors62.xml" ContentType="application/vnd.ms-office.chartcolorstyle+xml"/>
  <Override PartName="/word/charts/chart64.xml" ContentType="application/vnd.openxmlformats-officedocument.drawingml.chart+xml"/>
  <Override PartName="/word/charts/style63.xml" ContentType="application/vnd.ms-office.chartstyle+xml"/>
  <Override PartName="/word/charts/colors63.xml" ContentType="application/vnd.ms-office.chartcolorstyle+xml"/>
  <Override PartName="/word/charts/chart65.xml" ContentType="application/vnd.openxmlformats-officedocument.drawingml.chart+xml"/>
  <Override PartName="/word/charts/style64.xml" ContentType="application/vnd.ms-office.chartstyle+xml"/>
  <Override PartName="/word/charts/colors64.xml" ContentType="application/vnd.ms-office.chartcolorstyle+xml"/>
  <Override PartName="/word/charts/chart66.xml" ContentType="application/vnd.openxmlformats-officedocument.drawingml.chart+xml"/>
  <Override PartName="/word/charts/style65.xml" ContentType="application/vnd.ms-office.chartstyle+xml"/>
  <Override PartName="/word/charts/colors65.xml" ContentType="application/vnd.ms-office.chartcolorstyle+xml"/>
  <Override PartName="/word/charts/chart67.xml" ContentType="application/vnd.openxmlformats-officedocument.drawingml.chart+xml"/>
  <Override PartName="/word/charts/style66.xml" ContentType="application/vnd.ms-office.chartstyle+xml"/>
  <Override PartName="/word/charts/colors66.xml" ContentType="application/vnd.ms-office.chartcolorstyle+xml"/>
  <Override PartName="/word/charts/chart68.xml" ContentType="application/vnd.openxmlformats-officedocument.drawingml.chart+xml"/>
  <Override PartName="/word/charts/style67.xml" ContentType="application/vnd.ms-office.chartstyle+xml"/>
  <Override PartName="/word/charts/colors67.xml" ContentType="application/vnd.ms-office.chartcolorstyle+xml"/>
  <Override PartName="/word/charts/chart69.xml" ContentType="application/vnd.openxmlformats-officedocument.drawingml.chart+xml"/>
  <Override PartName="/word/charts/style68.xml" ContentType="application/vnd.ms-office.chartstyle+xml"/>
  <Override PartName="/word/charts/colors68.xml" ContentType="application/vnd.ms-office.chartcolorstyle+xml"/>
  <Override PartName="/word/charts/chart70.xml" ContentType="application/vnd.openxmlformats-officedocument.drawingml.chart+xml"/>
  <Override PartName="/word/charts/style69.xml" ContentType="application/vnd.ms-office.chartstyle+xml"/>
  <Override PartName="/word/charts/colors69.xml" ContentType="application/vnd.ms-office.chartcolorstyle+xml"/>
  <Override PartName="/word/charts/chart71.xml" ContentType="application/vnd.openxmlformats-officedocument.drawingml.chart+xml"/>
  <Override PartName="/word/charts/style70.xml" ContentType="application/vnd.ms-office.chartstyle+xml"/>
  <Override PartName="/word/charts/colors70.xml" ContentType="application/vnd.ms-office.chartcolorstyle+xml"/>
  <Override PartName="/word/charts/chart72.xml" ContentType="application/vnd.openxmlformats-officedocument.drawingml.chart+xml"/>
  <Override PartName="/word/charts/style71.xml" ContentType="application/vnd.ms-office.chartstyle+xml"/>
  <Override PartName="/word/charts/colors71.xml" ContentType="application/vnd.ms-office.chartcolorstyle+xml"/>
  <Override PartName="/word/charts/chart73.xml" ContentType="application/vnd.openxmlformats-officedocument.drawingml.chart+xml"/>
  <Override PartName="/word/charts/style72.xml" ContentType="application/vnd.ms-office.chartstyle+xml"/>
  <Override PartName="/word/charts/colors72.xml" ContentType="application/vnd.ms-office.chartcolorstyle+xml"/>
  <Override PartName="/word/charts/chart74.xml" ContentType="application/vnd.openxmlformats-officedocument.drawingml.chart+xml"/>
  <Override PartName="/word/charts/style73.xml" ContentType="application/vnd.ms-office.chartstyle+xml"/>
  <Override PartName="/word/charts/colors73.xml" ContentType="application/vnd.ms-office.chartcolorstyle+xml"/>
  <Override PartName="/word/charts/chart75.xml" ContentType="application/vnd.openxmlformats-officedocument.drawingml.chart+xml"/>
  <Override PartName="/word/charts/style74.xml" ContentType="application/vnd.ms-office.chartstyle+xml"/>
  <Override PartName="/word/charts/colors74.xml" ContentType="application/vnd.ms-office.chartcolorstyle+xml"/>
  <Override PartName="/word/charts/chart76.xml" ContentType="application/vnd.openxmlformats-officedocument.drawingml.chart+xml"/>
  <Override PartName="/word/charts/style75.xml" ContentType="application/vnd.ms-office.chartstyle+xml"/>
  <Override PartName="/word/charts/colors75.xml" ContentType="application/vnd.ms-office.chartcolorstyle+xml"/>
  <Override PartName="/word/charts/chart77.xml" ContentType="application/vnd.openxmlformats-officedocument.drawingml.chart+xml"/>
  <Override PartName="/word/charts/style76.xml" ContentType="application/vnd.ms-office.chartstyle+xml"/>
  <Override PartName="/word/charts/colors76.xml" ContentType="application/vnd.ms-office.chartcolorstyle+xml"/>
  <Override PartName="/word/charts/chart78.xml" ContentType="application/vnd.openxmlformats-officedocument.drawingml.chart+xml"/>
  <Override PartName="/word/charts/style77.xml" ContentType="application/vnd.ms-office.chartstyle+xml"/>
  <Override PartName="/word/charts/colors77.xml" ContentType="application/vnd.ms-office.chartcolorstyle+xml"/>
  <Override PartName="/word/charts/chart79.xml" ContentType="application/vnd.openxmlformats-officedocument.drawingml.chart+xml"/>
  <Override PartName="/word/charts/style78.xml" ContentType="application/vnd.ms-office.chartstyle+xml"/>
  <Override PartName="/word/charts/colors78.xml" ContentType="application/vnd.ms-office.chartcolorstyle+xml"/>
  <Override PartName="/word/charts/chart80.xml" ContentType="application/vnd.openxmlformats-officedocument.drawingml.chart+xml"/>
  <Override PartName="/word/charts/style79.xml" ContentType="application/vnd.ms-office.chartstyle+xml"/>
  <Override PartName="/word/charts/colors79.xml" ContentType="application/vnd.ms-office.chartcolorstyle+xml"/>
  <Override PartName="/word/charts/chart81.xml" ContentType="application/vnd.openxmlformats-officedocument.drawingml.chart+xml"/>
  <Override PartName="/word/charts/style80.xml" ContentType="application/vnd.ms-office.chartstyle+xml"/>
  <Override PartName="/word/charts/colors80.xml" ContentType="application/vnd.ms-office.chartcolorstyle+xml"/>
  <Override PartName="/word/charts/chart82.xml" ContentType="application/vnd.openxmlformats-officedocument.drawingml.chart+xml"/>
  <Override PartName="/word/charts/style81.xml" ContentType="application/vnd.ms-office.chartstyle+xml"/>
  <Override PartName="/word/charts/colors81.xml" ContentType="application/vnd.ms-office.chartcolorstyle+xml"/>
  <Override PartName="/word/charts/chart83.xml" ContentType="application/vnd.openxmlformats-officedocument.drawingml.chart+xml"/>
  <Override PartName="/word/charts/style82.xml" ContentType="application/vnd.ms-office.chartstyle+xml"/>
  <Override PartName="/word/charts/colors82.xml" ContentType="application/vnd.ms-office.chartcolorstyle+xml"/>
  <Override PartName="/word/charts/chart84.xml" ContentType="application/vnd.openxmlformats-officedocument.drawingml.chart+xml"/>
  <Override PartName="/word/charts/style83.xml" ContentType="application/vnd.ms-office.chartstyle+xml"/>
  <Override PartName="/word/charts/colors83.xml" ContentType="application/vnd.ms-office.chartcolorstyle+xml"/>
  <Override PartName="/word/charts/chart85.xml" ContentType="application/vnd.openxmlformats-officedocument.drawingml.chart+xml"/>
  <Override PartName="/word/charts/style84.xml" ContentType="application/vnd.ms-office.chartstyle+xml"/>
  <Override PartName="/word/charts/colors8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F7CF7" w14:textId="77777777" w:rsidR="0006116B" w:rsidRPr="00FF3BB3" w:rsidRDefault="0006116B" w:rsidP="00FF3BB3">
      <w:pPr>
        <w:spacing w:after="0" w:line="240" w:lineRule="auto"/>
        <w:jc w:val="center"/>
        <w:rPr>
          <w:rFonts w:ascii="Times New Roman" w:eastAsia="Times New Roman" w:hAnsi="Times New Roman" w:cs="Times New Roman"/>
          <w:sz w:val="24"/>
          <w:szCs w:val="24"/>
          <w:lang w:val="sr-Latn-RS"/>
        </w:rPr>
      </w:pPr>
      <w:bookmarkStart w:id="0" w:name="_Hlk177155965"/>
      <w:bookmarkStart w:id="1" w:name="_GoBack"/>
      <w:bookmarkEnd w:id="0"/>
      <w:bookmarkEnd w:id="1"/>
    </w:p>
    <w:p w14:paraId="47D9E693" w14:textId="77777777" w:rsidR="0006116B" w:rsidRPr="00FF3BB3" w:rsidRDefault="0006116B" w:rsidP="00FF3BB3">
      <w:pPr>
        <w:spacing w:after="0" w:line="240" w:lineRule="auto"/>
        <w:jc w:val="center"/>
        <w:rPr>
          <w:rFonts w:ascii="Times New Roman" w:eastAsia="Times New Roman" w:hAnsi="Times New Roman" w:cs="Times New Roman"/>
          <w:lang w:val="sr-Latn-RS"/>
        </w:rPr>
      </w:pPr>
      <w:r w:rsidRPr="00FF3BB3">
        <w:rPr>
          <w:rFonts w:asciiTheme="majorHAnsi" w:hAnsiTheme="majorHAnsi"/>
          <w:b/>
          <w:noProof/>
          <w:sz w:val="16"/>
          <w:szCs w:val="16"/>
          <w:lang w:val="en-GB" w:eastAsia="en-GB"/>
        </w:rPr>
        <w:drawing>
          <wp:anchor distT="0" distB="0" distL="114300" distR="114300" simplePos="0" relativeHeight="251659264" behindDoc="0" locked="0" layoutInCell="1" allowOverlap="1" wp14:anchorId="0D3CE516" wp14:editId="742D3137">
            <wp:simplePos x="0" y="0"/>
            <wp:positionH relativeFrom="page">
              <wp:posOffset>3600450</wp:posOffset>
            </wp:positionH>
            <wp:positionV relativeFrom="paragraph">
              <wp:posOffset>180340</wp:posOffset>
            </wp:positionV>
            <wp:extent cx="895350" cy="781050"/>
            <wp:effectExtent l="0" t="0" r="0" b="0"/>
            <wp:wrapSquare wrapText="bothSides"/>
            <wp:docPr id="1082558214" name="Picture 1082558214"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0D6F685A"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0602FB19"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3B679C9D"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10F00529"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6302AC5E"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789B6E02" w14:textId="77777777" w:rsidR="0006116B" w:rsidRPr="00FF3BB3" w:rsidRDefault="0006116B" w:rsidP="00FF3BB3">
      <w:pPr>
        <w:spacing w:after="0" w:line="240" w:lineRule="auto"/>
        <w:jc w:val="center"/>
        <w:rPr>
          <w:rFonts w:ascii="Times New Roman" w:eastAsia="Times New Roman" w:hAnsi="Times New Roman" w:cs="Times New Roman"/>
          <w:lang w:val="sr-Latn-RS"/>
        </w:rPr>
      </w:pPr>
    </w:p>
    <w:p w14:paraId="330CAA42" w14:textId="77777777" w:rsidR="0006116B" w:rsidRPr="00FF3BB3" w:rsidRDefault="0006116B" w:rsidP="0006116B">
      <w:pPr>
        <w:spacing w:after="0" w:line="240" w:lineRule="auto"/>
        <w:jc w:val="center"/>
        <w:rPr>
          <w:rFonts w:ascii="Times New Roman" w:eastAsia="Times New Roman" w:hAnsi="Times New Roman" w:cs="Times New Roman"/>
          <w:lang w:val="sr-Latn-RS"/>
        </w:rPr>
      </w:pPr>
      <w:r w:rsidRPr="00FF3BB3">
        <w:rPr>
          <w:rFonts w:ascii="Times New Roman" w:eastAsia="Times New Roman" w:hAnsi="Times New Roman" w:cs="Times New Roman"/>
          <w:lang w:val="sr-Latn-RS"/>
        </w:rPr>
        <w:t>Republika Kosova - Republic of Kosovo</w:t>
      </w:r>
    </w:p>
    <w:p w14:paraId="07EC7DA5" w14:textId="77777777" w:rsidR="0006116B" w:rsidRPr="00FF3BB3" w:rsidRDefault="0006116B" w:rsidP="0006116B">
      <w:pPr>
        <w:spacing w:after="0" w:line="240" w:lineRule="auto"/>
        <w:jc w:val="center"/>
        <w:rPr>
          <w:rFonts w:ascii="Times New Roman" w:eastAsia="Times New Roman" w:hAnsi="Times New Roman" w:cs="Times New Roman"/>
          <w:lang w:val="sr-Latn-RS"/>
        </w:rPr>
      </w:pPr>
      <w:r w:rsidRPr="00FF3BB3">
        <w:rPr>
          <w:rFonts w:ascii="Times New Roman" w:eastAsia="Times New Roman" w:hAnsi="Times New Roman" w:cs="Times New Roman"/>
          <w:lang w:val="sr-Latn-RS"/>
        </w:rPr>
        <w:t>Qeveria - Vlada - Government</w:t>
      </w:r>
    </w:p>
    <w:p w14:paraId="169CEA5A" w14:textId="77777777" w:rsidR="0006116B" w:rsidRPr="00FF3BB3" w:rsidRDefault="0006116B" w:rsidP="0006116B">
      <w:pPr>
        <w:tabs>
          <w:tab w:val="left" w:pos="4995"/>
        </w:tabs>
        <w:spacing w:after="0" w:line="240" w:lineRule="auto"/>
        <w:jc w:val="center"/>
        <w:rPr>
          <w:rFonts w:ascii="Times New Roman" w:eastAsia="Times New Roman" w:hAnsi="Times New Roman" w:cs="Times New Roman"/>
          <w:lang w:val="sr-Latn-RS"/>
        </w:rPr>
      </w:pPr>
    </w:p>
    <w:p w14:paraId="1CD73625" w14:textId="77777777" w:rsidR="0006116B" w:rsidRPr="00FF3BB3" w:rsidRDefault="0006116B" w:rsidP="0006116B">
      <w:pPr>
        <w:spacing w:after="0" w:line="240" w:lineRule="auto"/>
        <w:jc w:val="center"/>
        <w:rPr>
          <w:rFonts w:ascii="Times New Roman" w:eastAsia="Times New Roman" w:hAnsi="Times New Roman" w:cs="Times New Roman"/>
          <w:lang w:val="sr-Latn-RS"/>
        </w:rPr>
      </w:pPr>
      <w:r w:rsidRPr="00FF3BB3">
        <w:rPr>
          <w:rFonts w:ascii="Times New Roman" w:eastAsia="Times New Roman" w:hAnsi="Times New Roman" w:cs="Times New Roman"/>
          <w:lang w:val="sr-Latn-RS"/>
        </w:rPr>
        <w:t>Ministria e Administrimit të Pushtetit Lokal</w:t>
      </w:r>
    </w:p>
    <w:p w14:paraId="0744ECCE" w14:textId="03D7EDDA" w:rsidR="0006116B" w:rsidRPr="00FF3BB3" w:rsidRDefault="0006116B" w:rsidP="0006116B">
      <w:pPr>
        <w:spacing w:after="0" w:line="240" w:lineRule="auto"/>
        <w:jc w:val="center"/>
        <w:rPr>
          <w:rFonts w:ascii="Times New Roman" w:eastAsia="Times New Roman" w:hAnsi="Times New Roman" w:cs="Times New Roman"/>
          <w:lang w:val="sr-Latn-RS"/>
        </w:rPr>
      </w:pPr>
      <w:r w:rsidRPr="00FF3BB3">
        <w:rPr>
          <w:rFonts w:ascii="Times New Roman" w:eastAsia="Times New Roman" w:hAnsi="Times New Roman" w:cs="Times New Roman"/>
          <w:lang w:val="sr-Latn-RS"/>
        </w:rPr>
        <w:t xml:space="preserve">Ministarstvo </w:t>
      </w:r>
      <w:r w:rsidR="00FF3BB3" w:rsidRPr="00FF3BB3">
        <w:rPr>
          <w:rFonts w:ascii="Times New Roman" w:eastAsia="Times New Roman" w:hAnsi="Times New Roman" w:cs="Times New Roman"/>
          <w:lang w:val="sr-Latn-RS"/>
        </w:rPr>
        <w:t>administracije lokalne samouprave</w:t>
      </w:r>
    </w:p>
    <w:p w14:paraId="6492F995" w14:textId="7A3D599F" w:rsidR="0006116B" w:rsidRPr="00FF3BB3" w:rsidRDefault="0006116B" w:rsidP="0006116B">
      <w:pPr>
        <w:spacing w:after="0" w:line="240" w:lineRule="auto"/>
        <w:jc w:val="center"/>
        <w:rPr>
          <w:rFonts w:ascii="Times New Roman" w:eastAsia="Times New Roman" w:hAnsi="Times New Roman" w:cs="Times New Roman"/>
          <w:lang w:val="sr-Latn-RS"/>
        </w:rPr>
      </w:pPr>
      <w:r w:rsidRPr="00FF3BB3">
        <w:rPr>
          <w:rFonts w:ascii="Times New Roman" w:eastAsia="Times New Roman" w:hAnsi="Times New Roman" w:cs="Times New Roman"/>
          <w:lang w:val="sr-Latn-RS"/>
        </w:rPr>
        <w:t>Ministry of Local Government Administration</w:t>
      </w:r>
    </w:p>
    <w:tbl>
      <w:tblPr>
        <w:tblStyle w:val="TableGrid"/>
        <w:tblpPr w:leftFromText="180" w:rightFromText="180" w:vertAnchor="text" w:horzAnchor="page" w:tblpX="1595" w:tblpY="3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34F2E"/>
        <w:tblLook w:val="04A0" w:firstRow="1" w:lastRow="0" w:firstColumn="1" w:lastColumn="0" w:noHBand="0" w:noVBand="1"/>
      </w:tblPr>
      <w:tblGrid>
        <w:gridCol w:w="9270"/>
      </w:tblGrid>
      <w:tr w:rsidR="0006116B" w:rsidRPr="00FF3BB3" w14:paraId="51330393" w14:textId="77777777" w:rsidTr="00FF3BB3">
        <w:tc>
          <w:tcPr>
            <w:tcW w:w="9270" w:type="dxa"/>
            <w:shd w:val="clear" w:color="auto" w:fill="auto"/>
          </w:tcPr>
          <w:p w14:paraId="757DC38F" w14:textId="79BCFD22" w:rsidR="0006116B" w:rsidRPr="00FF3BB3" w:rsidRDefault="0006116B" w:rsidP="00FF3BB3">
            <w:pPr>
              <w:tabs>
                <w:tab w:val="left" w:pos="3773"/>
              </w:tabs>
              <w:spacing w:before="120"/>
              <w:jc w:val="center"/>
              <w:rPr>
                <w:rFonts w:ascii="Arial" w:hAnsi="Arial" w:cs="Arial"/>
                <w:bCs/>
                <w:color w:val="FF0000"/>
                <w:sz w:val="28"/>
                <w:szCs w:val="28"/>
                <w:lang w:val="sr-Latn-RS"/>
              </w:rPr>
            </w:pPr>
            <w:r w:rsidRPr="00FF3BB3">
              <w:rPr>
                <w:rFonts w:ascii="Arial" w:hAnsi="Arial" w:cs="Arial"/>
                <w:bCs/>
                <w:color w:val="FF0000"/>
                <w:sz w:val="28"/>
                <w:szCs w:val="28"/>
                <w:lang w:val="sr-Latn-RS"/>
              </w:rPr>
              <w:t>Izveštaj o učinku za 202</w:t>
            </w:r>
            <w:r w:rsidR="001A2494">
              <w:rPr>
                <w:rFonts w:ascii="Arial" w:hAnsi="Arial" w:cs="Arial"/>
                <w:bCs/>
                <w:color w:val="FF0000"/>
                <w:sz w:val="28"/>
                <w:szCs w:val="28"/>
                <w:lang w:val="sr-Latn-RS"/>
              </w:rPr>
              <w:t>4</w:t>
            </w:r>
            <w:r w:rsidR="00FF1642" w:rsidRPr="00FF3BB3">
              <w:rPr>
                <w:rFonts w:ascii="Arial" w:hAnsi="Arial" w:cs="Arial"/>
                <w:bCs/>
                <w:color w:val="FF0000"/>
                <w:sz w:val="28"/>
                <w:szCs w:val="28"/>
                <w:lang w:val="sr-Latn-RS"/>
              </w:rPr>
              <w:t>. godinu</w:t>
            </w:r>
          </w:p>
          <w:p w14:paraId="74C43D82" w14:textId="77777777" w:rsidR="0006116B" w:rsidRPr="00FF3BB3" w:rsidRDefault="0006116B" w:rsidP="00FF3BB3">
            <w:pPr>
              <w:tabs>
                <w:tab w:val="left" w:pos="3773"/>
              </w:tabs>
              <w:spacing w:before="120"/>
              <w:jc w:val="center"/>
              <w:rPr>
                <w:rFonts w:ascii="Arial" w:hAnsi="Arial" w:cs="Arial"/>
                <w:bCs/>
                <w:color w:val="FF0000"/>
                <w:sz w:val="28"/>
                <w:szCs w:val="28"/>
                <w:lang w:val="sr-Latn-RS"/>
              </w:rPr>
            </w:pPr>
          </w:p>
          <w:p w14:paraId="2778881C" w14:textId="2377689C" w:rsidR="0006116B" w:rsidRPr="00B10745" w:rsidRDefault="00FF3BB3" w:rsidP="00FF3BB3">
            <w:pPr>
              <w:tabs>
                <w:tab w:val="left" w:pos="3773"/>
              </w:tabs>
              <w:spacing w:before="120"/>
              <w:jc w:val="center"/>
              <w:rPr>
                <w:rFonts w:ascii="Arial" w:hAnsi="Arial" w:cs="Arial"/>
                <w:b/>
                <w:bCs/>
                <w:caps/>
                <w:color w:val="FF0000"/>
                <w:sz w:val="52"/>
                <w:szCs w:val="52"/>
                <w:lang w:val="sr-Latn-RS"/>
              </w:rPr>
            </w:pPr>
            <w:r w:rsidRPr="00B10745">
              <w:rPr>
                <w:rFonts w:ascii="Arial" w:hAnsi="Arial" w:cs="Arial"/>
                <w:b/>
                <w:bCs/>
                <w:caps/>
                <w:color w:val="FF0000"/>
                <w:sz w:val="52"/>
                <w:szCs w:val="52"/>
                <w:lang w:val="sr-Latn-RS"/>
              </w:rPr>
              <w:t>grant ZA OpštinskI</w:t>
            </w:r>
            <w:r w:rsidR="0006116B" w:rsidRPr="00B10745">
              <w:rPr>
                <w:rFonts w:ascii="Arial" w:hAnsi="Arial" w:cs="Arial"/>
                <w:b/>
                <w:bCs/>
                <w:caps/>
                <w:color w:val="FF0000"/>
                <w:sz w:val="52"/>
                <w:szCs w:val="52"/>
                <w:lang w:val="sr-Latn-RS"/>
              </w:rPr>
              <w:t xml:space="preserve"> učin</w:t>
            </w:r>
            <w:r w:rsidRPr="00B10745">
              <w:rPr>
                <w:rFonts w:ascii="Arial" w:hAnsi="Arial" w:cs="Arial"/>
                <w:b/>
                <w:bCs/>
                <w:caps/>
                <w:color w:val="FF0000"/>
                <w:sz w:val="52"/>
                <w:szCs w:val="52"/>
                <w:lang w:val="sr-Latn-RS"/>
              </w:rPr>
              <w:t>A</w:t>
            </w:r>
            <w:r w:rsidR="0006116B" w:rsidRPr="00B10745">
              <w:rPr>
                <w:rFonts w:ascii="Arial" w:hAnsi="Arial" w:cs="Arial"/>
                <w:b/>
                <w:bCs/>
                <w:caps/>
                <w:color w:val="FF0000"/>
                <w:sz w:val="52"/>
                <w:szCs w:val="52"/>
                <w:lang w:val="sr-Latn-RS"/>
              </w:rPr>
              <w:t>k</w:t>
            </w:r>
          </w:p>
          <w:p w14:paraId="560A5298" w14:textId="77777777" w:rsidR="0006116B" w:rsidRPr="00B10745" w:rsidRDefault="0006116B" w:rsidP="00FF3BB3">
            <w:pPr>
              <w:tabs>
                <w:tab w:val="left" w:pos="3773"/>
                <w:tab w:val="left" w:pos="6144"/>
              </w:tabs>
              <w:spacing w:before="120"/>
              <w:rPr>
                <w:rFonts w:ascii="Arial" w:hAnsi="Arial" w:cs="Arial"/>
                <w:b/>
                <w:bCs/>
                <w:color w:val="FF0000"/>
                <w:sz w:val="28"/>
                <w:szCs w:val="28"/>
                <w:lang w:val="sr-Latn-RS"/>
              </w:rPr>
            </w:pPr>
            <w:r w:rsidRPr="00B10745">
              <w:rPr>
                <w:rFonts w:ascii="Arial" w:hAnsi="Arial" w:cs="Arial"/>
                <w:b/>
                <w:bCs/>
                <w:color w:val="FF0000"/>
                <w:sz w:val="28"/>
                <w:szCs w:val="28"/>
                <w:lang w:val="sr-Latn-RS"/>
              </w:rPr>
              <w:tab/>
            </w:r>
            <w:r w:rsidRPr="00B10745">
              <w:rPr>
                <w:rFonts w:ascii="Arial" w:hAnsi="Arial" w:cs="Arial"/>
                <w:b/>
                <w:bCs/>
                <w:color w:val="FF0000"/>
                <w:sz w:val="28"/>
                <w:szCs w:val="28"/>
                <w:lang w:val="sr-Latn-RS"/>
              </w:rPr>
              <w:tab/>
            </w:r>
          </w:p>
          <w:p w14:paraId="650F6270" w14:textId="7E2BA505" w:rsidR="0006116B" w:rsidRPr="00FF3BB3" w:rsidRDefault="0006116B" w:rsidP="00FF3BB3">
            <w:pPr>
              <w:tabs>
                <w:tab w:val="left" w:pos="3773"/>
              </w:tabs>
              <w:spacing w:before="120"/>
              <w:jc w:val="center"/>
              <w:rPr>
                <w:rFonts w:ascii="Arial" w:hAnsi="Arial" w:cs="Arial"/>
                <w:bCs/>
                <w:color w:val="FF0000"/>
                <w:sz w:val="28"/>
                <w:szCs w:val="28"/>
                <w:lang w:val="sr-Latn-RS"/>
              </w:rPr>
            </w:pPr>
            <w:r w:rsidRPr="00B10745">
              <w:rPr>
                <w:rFonts w:ascii="Arial" w:hAnsi="Arial" w:cs="Arial"/>
                <w:bCs/>
                <w:color w:val="FF0000"/>
                <w:sz w:val="28"/>
                <w:szCs w:val="28"/>
                <w:lang w:val="sr-Latn-RS"/>
              </w:rPr>
              <w:t>za fiskalnu 202</w:t>
            </w:r>
            <w:r w:rsidR="001A2494">
              <w:rPr>
                <w:rFonts w:ascii="Arial" w:hAnsi="Arial" w:cs="Arial"/>
                <w:bCs/>
                <w:color w:val="FF0000"/>
                <w:sz w:val="28"/>
                <w:szCs w:val="28"/>
                <w:lang w:val="sr-Latn-RS"/>
              </w:rPr>
              <w:t>6</w:t>
            </w:r>
            <w:r w:rsidR="00FF1642" w:rsidRPr="00B10745">
              <w:rPr>
                <w:rFonts w:ascii="Arial" w:hAnsi="Arial" w:cs="Arial"/>
                <w:bCs/>
                <w:color w:val="FF0000"/>
                <w:sz w:val="28"/>
                <w:szCs w:val="28"/>
                <w:lang w:val="sr-Latn-RS"/>
              </w:rPr>
              <w:t>. godinu</w:t>
            </w:r>
          </w:p>
          <w:p w14:paraId="1A405EFF" w14:textId="77777777" w:rsidR="0006116B" w:rsidRPr="00FF3BB3" w:rsidRDefault="0006116B" w:rsidP="00FF3BB3">
            <w:pPr>
              <w:spacing w:line="360" w:lineRule="auto"/>
              <w:jc w:val="center"/>
              <w:rPr>
                <w:rFonts w:ascii="Arial" w:hAnsi="Arial" w:cs="Arial"/>
                <w:b/>
                <w:sz w:val="28"/>
                <w:szCs w:val="28"/>
                <w:lang w:val="sr-Latn-RS"/>
              </w:rPr>
            </w:pPr>
          </w:p>
          <w:p w14:paraId="32891D3A" w14:textId="77777777" w:rsidR="0006116B" w:rsidRPr="00FF3BB3" w:rsidRDefault="0006116B" w:rsidP="00FF3BB3">
            <w:pPr>
              <w:spacing w:line="360" w:lineRule="auto"/>
              <w:jc w:val="center"/>
              <w:rPr>
                <w:rFonts w:ascii="Arial" w:hAnsi="Arial" w:cs="Arial"/>
                <w:b/>
                <w:sz w:val="28"/>
                <w:szCs w:val="28"/>
                <w:lang w:val="sr-Latn-RS"/>
              </w:rPr>
            </w:pPr>
            <w:r w:rsidRPr="00FF3BB3">
              <w:rPr>
                <w:rFonts w:ascii="Arial" w:hAnsi="Arial" w:cs="Arial"/>
                <w:b/>
                <w:sz w:val="28"/>
                <w:szCs w:val="28"/>
                <w:lang w:val="sr-Latn-RS"/>
              </w:rPr>
              <w:t>Godišnji izveštaj</w:t>
            </w:r>
          </w:p>
        </w:tc>
      </w:tr>
    </w:tbl>
    <w:p w14:paraId="2D1CFF83"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4C8307A6"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59C95AF2"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1CB2E87B"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168D861C"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4E5EA854"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206C7549"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7BDC3208"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497845CE"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261AD511"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p w14:paraId="6E6CAFDC" w14:textId="77777777" w:rsidR="0006116B" w:rsidRPr="00FF3BB3" w:rsidRDefault="0006116B" w:rsidP="00FF3BB3">
      <w:pPr>
        <w:spacing w:after="0" w:line="360" w:lineRule="auto"/>
        <w:ind w:left="5040" w:firstLine="720"/>
        <w:jc w:val="center"/>
        <w:rPr>
          <w:rFonts w:ascii="Calibri Light" w:hAnsi="Calibri Light" w:cs="Calibri Light"/>
          <w:sz w:val="16"/>
          <w:szCs w:val="16"/>
          <w:lang w:val="sr-Latn-RS"/>
        </w:rPr>
      </w:pPr>
    </w:p>
    <w:tbl>
      <w:tblPr>
        <w:tblStyle w:val="TableGrid"/>
        <w:tblW w:w="0" w:type="auto"/>
        <w:tblInd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tblGrid>
      <w:tr w:rsidR="0006116B" w:rsidRPr="00FF3BB3" w14:paraId="4D28F2E0" w14:textId="77777777" w:rsidTr="00FF3BB3">
        <w:tc>
          <w:tcPr>
            <w:tcW w:w="2885" w:type="dxa"/>
            <w:hideMark/>
          </w:tcPr>
          <w:p w14:paraId="5AA37E16" w14:textId="77777777" w:rsidR="0006116B" w:rsidRPr="00FF3BB3" w:rsidRDefault="0006116B" w:rsidP="00FF3BB3">
            <w:pPr>
              <w:spacing w:line="360" w:lineRule="auto"/>
              <w:jc w:val="both"/>
              <w:rPr>
                <w:rFonts w:ascii="Calibri Light" w:hAnsi="Calibri Light" w:cs="Calibri Light"/>
                <w:sz w:val="14"/>
                <w:szCs w:val="14"/>
                <w:lang w:val="sr-Latn-RS"/>
              </w:rPr>
            </w:pPr>
            <w:r w:rsidRPr="00FF3BB3">
              <w:rPr>
                <w:rFonts w:ascii="Calibri Light" w:hAnsi="Calibri Light" w:cs="Calibri Light"/>
                <w:sz w:val="14"/>
                <w:szCs w:val="14"/>
                <w:lang w:val="sr-Latn-RS"/>
              </w:rPr>
              <w:t>Uz tehničku i finansijsku podršku:</w:t>
            </w:r>
          </w:p>
        </w:tc>
      </w:tr>
    </w:tbl>
    <w:p w14:paraId="36FA4FE5" w14:textId="77777777" w:rsidR="0006116B" w:rsidRPr="00FF3BB3" w:rsidRDefault="0006116B" w:rsidP="00FF3BB3">
      <w:pPr>
        <w:rPr>
          <w:lang w:val="sr-Latn-RS"/>
        </w:rPr>
      </w:pPr>
    </w:p>
    <w:p w14:paraId="3BD7D9D6" w14:textId="77777777" w:rsidR="0006116B" w:rsidRPr="00FF3BB3" w:rsidRDefault="0006116B" w:rsidP="00FF3BB3">
      <w:pPr>
        <w:rPr>
          <w:rFonts w:ascii="Calibri" w:hAnsi="Calibri" w:cs="Times New Roman"/>
          <w:noProof/>
          <w:lang w:val="sr-Latn-RS"/>
        </w:rPr>
      </w:pPr>
    </w:p>
    <w:p w14:paraId="62CCB1D2" w14:textId="77777777" w:rsidR="0006116B" w:rsidRPr="00FF3BB3" w:rsidRDefault="0006116B" w:rsidP="00FF3BB3">
      <w:pPr>
        <w:rPr>
          <w:lang w:val="sr-Latn-RS"/>
        </w:rPr>
      </w:pPr>
      <w:r w:rsidRPr="00FF3BB3">
        <w:rPr>
          <w:rFonts w:ascii="Calibri" w:hAnsi="Calibri" w:cs="Times New Roman"/>
          <w:noProof/>
          <w:lang w:val="en-GB" w:eastAsia="en-GB"/>
        </w:rPr>
        <w:drawing>
          <wp:inline distT="0" distB="0" distL="0" distR="0" wp14:anchorId="04C5FBFA" wp14:editId="3A605600">
            <wp:extent cx="4968240" cy="517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 t="-7553" r="37442" b="-20696"/>
                    <a:stretch/>
                  </pic:blipFill>
                  <pic:spPr bwMode="auto">
                    <a:xfrm>
                      <a:off x="0" y="0"/>
                      <a:ext cx="4968240" cy="517525"/>
                    </a:xfrm>
                    <a:prstGeom prst="rect">
                      <a:avLst/>
                    </a:prstGeom>
                    <a:noFill/>
                    <a:ln>
                      <a:noFill/>
                    </a:ln>
                    <a:extLst>
                      <a:ext uri="{53640926-AAD7-44D8-BBD7-CCE9431645EC}">
                        <a14:shadowObscured xmlns:a14="http://schemas.microsoft.com/office/drawing/2010/main"/>
                      </a:ext>
                    </a:extLst>
                  </pic:spPr>
                </pic:pic>
              </a:graphicData>
            </a:graphic>
          </wp:inline>
        </w:drawing>
      </w:r>
    </w:p>
    <w:p w14:paraId="61CE9F47" w14:textId="77777777" w:rsidR="0006116B" w:rsidRPr="00FF3BB3" w:rsidRDefault="0006116B" w:rsidP="00FF3BB3">
      <w:pPr>
        <w:rPr>
          <w:lang w:val="sr-Latn-RS"/>
        </w:rPr>
      </w:pPr>
    </w:p>
    <w:sdt>
      <w:sdtPr>
        <w:rPr>
          <w:rFonts w:asciiTheme="minorHAnsi" w:eastAsia="MS Mincho" w:hAnsiTheme="minorHAnsi" w:cstheme="minorBidi"/>
          <w:color w:val="auto"/>
          <w:sz w:val="22"/>
          <w:szCs w:val="22"/>
          <w:lang w:val="sr-Latn-RS"/>
        </w:rPr>
        <w:id w:val="-904989243"/>
        <w:docPartObj>
          <w:docPartGallery w:val="Table of Contents"/>
          <w:docPartUnique/>
        </w:docPartObj>
      </w:sdtPr>
      <w:sdtEndPr>
        <w:rPr>
          <w:b/>
          <w:bCs/>
          <w:noProof/>
        </w:rPr>
      </w:sdtEndPr>
      <w:sdtContent>
        <w:p w14:paraId="4EC14667" w14:textId="0579F78E" w:rsidR="0006116B" w:rsidRPr="00FF3BB3" w:rsidRDefault="00FF1642" w:rsidP="00FF3BB3">
          <w:pPr>
            <w:pStyle w:val="TOCHeading"/>
            <w:rPr>
              <w:rFonts w:asciiTheme="minorHAnsi" w:hAnsiTheme="minorHAnsi"/>
              <w:sz w:val="28"/>
              <w:szCs w:val="28"/>
              <w:lang w:val="sr-Latn-RS"/>
            </w:rPr>
          </w:pPr>
          <w:r w:rsidRPr="00FF3BB3">
            <w:rPr>
              <w:rFonts w:asciiTheme="minorHAnsi" w:hAnsiTheme="minorHAnsi"/>
              <w:sz w:val="28"/>
              <w:szCs w:val="28"/>
              <w:lang w:val="sr-Latn-RS"/>
            </w:rPr>
            <w:t>S</w:t>
          </w:r>
          <w:r w:rsidR="0006116B" w:rsidRPr="00FF3BB3">
            <w:rPr>
              <w:rFonts w:asciiTheme="minorHAnsi" w:hAnsiTheme="minorHAnsi"/>
              <w:sz w:val="28"/>
              <w:szCs w:val="28"/>
              <w:lang w:val="sr-Latn-RS"/>
            </w:rPr>
            <w:t>adržaj</w:t>
          </w:r>
          <w:r w:rsidRPr="00FF3BB3">
            <w:rPr>
              <w:rFonts w:asciiTheme="minorHAnsi" w:hAnsiTheme="minorHAnsi"/>
              <w:sz w:val="28"/>
              <w:szCs w:val="28"/>
              <w:lang w:val="sr-Latn-RS"/>
            </w:rPr>
            <w:t xml:space="preserve"> </w:t>
          </w:r>
        </w:p>
        <w:p w14:paraId="7D5D7644" w14:textId="1B2EB865" w:rsidR="00D700E5" w:rsidRDefault="0006116B">
          <w:pPr>
            <w:pStyle w:val="TOC1"/>
            <w:tabs>
              <w:tab w:val="right" w:leader="dot" w:pos="9607"/>
            </w:tabs>
            <w:rPr>
              <w:rFonts w:eastAsiaTheme="minorEastAsia"/>
              <w:noProof/>
              <w:lang w:val="en-US"/>
            </w:rPr>
          </w:pPr>
          <w:r w:rsidRPr="00FF3BB3">
            <w:rPr>
              <w:lang w:val="sr-Latn-RS"/>
            </w:rPr>
            <w:fldChar w:fldCharType="begin"/>
          </w:r>
          <w:r w:rsidRPr="00FF3BB3">
            <w:rPr>
              <w:lang w:val="sr-Latn-RS"/>
            </w:rPr>
            <w:instrText xml:space="preserve"> TOC \o "1-3" \h \z \u </w:instrText>
          </w:r>
          <w:r w:rsidRPr="00FF3BB3">
            <w:rPr>
              <w:lang w:val="sr-Latn-RS"/>
            </w:rPr>
            <w:fldChar w:fldCharType="separate"/>
          </w:r>
          <w:hyperlink w:anchor="_Toc224550088" w:history="1">
            <w:r w:rsidR="00D700E5" w:rsidRPr="001213DE">
              <w:rPr>
                <w:rStyle w:val="Hyperlink"/>
                <w:rFonts w:asciiTheme="majorHAnsi" w:eastAsiaTheme="majorEastAsia" w:hAnsiTheme="majorHAnsi" w:cstheme="majorHAnsi"/>
                <w:b/>
                <w:noProof/>
                <w:lang w:val="sr-Latn-RS"/>
              </w:rPr>
              <w:t>Opšti pregled</w:t>
            </w:r>
            <w:r w:rsidR="00D700E5">
              <w:rPr>
                <w:noProof/>
                <w:webHidden/>
              </w:rPr>
              <w:tab/>
            </w:r>
            <w:r w:rsidR="00D700E5">
              <w:rPr>
                <w:noProof/>
                <w:webHidden/>
              </w:rPr>
              <w:fldChar w:fldCharType="begin"/>
            </w:r>
            <w:r w:rsidR="00D700E5">
              <w:rPr>
                <w:noProof/>
                <w:webHidden/>
              </w:rPr>
              <w:instrText xml:space="preserve"> PAGEREF _Toc224550088 \h </w:instrText>
            </w:r>
            <w:r w:rsidR="00D700E5">
              <w:rPr>
                <w:noProof/>
                <w:webHidden/>
              </w:rPr>
            </w:r>
            <w:r w:rsidR="00D700E5">
              <w:rPr>
                <w:noProof/>
                <w:webHidden/>
              </w:rPr>
              <w:fldChar w:fldCharType="separate"/>
            </w:r>
            <w:r w:rsidR="00D700E5">
              <w:rPr>
                <w:noProof/>
                <w:webHidden/>
              </w:rPr>
              <w:t>3</w:t>
            </w:r>
            <w:r w:rsidR="00D700E5">
              <w:rPr>
                <w:noProof/>
                <w:webHidden/>
              </w:rPr>
              <w:fldChar w:fldCharType="end"/>
            </w:r>
          </w:hyperlink>
        </w:p>
        <w:p w14:paraId="058F113B" w14:textId="351E266A" w:rsidR="00D700E5" w:rsidRDefault="00971530">
          <w:pPr>
            <w:pStyle w:val="TOC1"/>
            <w:tabs>
              <w:tab w:val="left" w:pos="440"/>
              <w:tab w:val="right" w:leader="dot" w:pos="9607"/>
            </w:tabs>
            <w:rPr>
              <w:rFonts w:eastAsiaTheme="minorEastAsia"/>
              <w:noProof/>
              <w:lang w:val="en-US"/>
            </w:rPr>
          </w:pPr>
          <w:hyperlink w:anchor="_Toc224550089" w:history="1">
            <w:r w:rsidR="00D700E5" w:rsidRPr="001213DE">
              <w:rPr>
                <w:rStyle w:val="Hyperlink"/>
                <w:rFonts w:asciiTheme="majorHAnsi" w:eastAsiaTheme="majorEastAsia" w:hAnsiTheme="majorHAnsi" w:cstheme="majorHAnsi"/>
                <w:b/>
                <w:noProof/>
                <w:lang w:val="sr-Latn-RS"/>
              </w:rPr>
              <w:t>1.</w:t>
            </w:r>
            <w:r w:rsidR="00D700E5">
              <w:rPr>
                <w:rFonts w:eastAsiaTheme="minorEastAsia"/>
                <w:noProof/>
                <w:lang w:val="en-US"/>
              </w:rPr>
              <w:tab/>
            </w:r>
            <w:r w:rsidR="00D700E5" w:rsidRPr="001213DE">
              <w:rPr>
                <w:rStyle w:val="Hyperlink"/>
                <w:rFonts w:asciiTheme="majorHAnsi" w:eastAsiaTheme="majorEastAsia" w:hAnsiTheme="majorHAnsi" w:cstheme="majorHAnsi"/>
                <w:b/>
                <w:noProof/>
                <w:lang w:val="sr-Latn-RS"/>
              </w:rPr>
              <w:t>Uvod- Procena učinka opština za grant za 2026. godinu</w:t>
            </w:r>
            <w:r w:rsidR="00D700E5">
              <w:rPr>
                <w:noProof/>
                <w:webHidden/>
              </w:rPr>
              <w:tab/>
            </w:r>
            <w:r w:rsidR="00D700E5">
              <w:rPr>
                <w:noProof/>
                <w:webHidden/>
              </w:rPr>
              <w:fldChar w:fldCharType="begin"/>
            </w:r>
            <w:r w:rsidR="00D700E5">
              <w:rPr>
                <w:noProof/>
                <w:webHidden/>
              </w:rPr>
              <w:instrText xml:space="preserve"> PAGEREF _Toc224550089 \h </w:instrText>
            </w:r>
            <w:r w:rsidR="00D700E5">
              <w:rPr>
                <w:noProof/>
                <w:webHidden/>
              </w:rPr>
            </w:r>
            <w:r w:rsidR="00D700E5">
              <w:rPr>
                <w:noProof/>
                <w:webHidden/>
              </w:rPr>
              <w:fldChar w:fldCharType="separate"/>
            </w:r>
            <w:r w:rsidR="00D700E5">
              <w:rPr>
                <w:noProof/>
                <w:webHidden/>
              </w:rPr>
              <w:t>4</w:t>
            </w:r>
            <w:r w:rsidR="00D700E5">
              <w:rPr>
                <w:noProof/>
                <w:webHidden/>
              </w:rPr>
              <w:fldChar w:fldCharType="end"/>
            </w:r>
          </w:hyperlink>
        </w:p>
        <w:p w14:paraId="5C94C818" w14:textId="052CF80C" w:rsidR="00D700E5" w:rsidRDefault="00971530">
          <w:pPr>
            <w:pStyle w:val="TOC1"/>
            <w:tabs>
              <w:tab w:val="left" w:pos="440"/>
              <w:tab w:val="right" w:leader="dot" w:pos="9607"/>
            </w:tabs>
            <w:rPr>
              <w:rFonts w:eastAsiaTheme="minorEastAsia"/>
              <w:noProof/>
              <w:lang w:val="en-US"/>
            </w:rPr>
          </w:pPr>
          <w:hyperlink w:anchor="_Toc224550090" w:history="1">
            <w:r w:rsidR="00D700E5" w:rsidRPr="001213DE">
              <w:rPr>
                <w:rStyle w:val="Hyperlink"/>
                <w:rFonts w:asciiTheme="majorHAnsi" w:eastAsiaTheme="majorEastAsia" w:hAnsiTheme="majorHAnsi" w:cstheme="majorHAnsi"/>
                <w:b/>
                <w:noProof/>
                <w:lang w:val="sr-Latn-RS"/>
              </w:rPr>
              <w:t>2.</w:t>
            </w:r>
            <w:r w:rsidR="00D700E5">
              <w:rPr>
                <w:rFonts w:eastAsiaTheme="minorEastAsia"/>
                <w:noProof/>
                <w:lang w:val="en-US"/>
              </w:rPr>
              <w:tab/>
            </w:r>
            <w:r w:rsidR="00D700E5" w:rsidRPr="001213DE">
              <w:rPr>
                <w:rStyle w:val="Hyperlink"/>
                <w:rFonts w:asciiTheme="majorHAnsi" w:eastAsiaTheme="majorEastAsia" w:hAnsiTheme="majorHAnsi" w:cstheme="majorHAnsi"/>
                <w:b/>
                <w:noProof/>
                <w:lang w:val="sr-Latn-RS"/>
              </w:rPr>
              <w:t>Grant za opštinski učinak za 2026. godinu – Rezultati procene</w:t>
            </w:r>
            <w:r w:rsidR="00D700E5">
              <w:rPr>
                <w:noProof/>
                <w:webHidden/>
              </w:rPr>
              <w:tab/>
            </w:r>
            <w:r w:rsidR="00D700E5">
              <w:rPr>
                <w:noProof/>
                <w:webHidden/>
              </w:rPr>
              <w:fldChar w:fldCharType="begin"/>
            </w:r>
            <w:r w:rsidR="00D700E5">
              <w:rPr>
                <w:noProof/>
                <w:webHidden/>
              </w:rPr>
              <w:instrText xml:space="preserve"> PAGEREF _Toc224550090 \h </w:instrText>
            </w:r>
            <w:r w:rsidR="00D700E5">
              <w:rPr>
                <w:noProof/>
                <w:webHidden/>
              </w:rPr>
            </w:r>
            <w:r w:rsidR="00D700E5">
              <w:rPr>
                <w:noProof/>
                <w:webHidden/>
              </w:rPr>
              <w:fldChar w:fldCharType="separate"/>
            </w:r>
            <w:r w:rsidR="00D700E5">
              <w:rPr>
                <w:noProof/>
                <w:webHidden/>
              </w:rPr>
              <w:t>6</w:t>
            </w:r>
            <w:r w:rsidR="00D700E5">
              <w:rPr>
                <w:noProof/>
                <w:webHidden/>
              </w:rPr>
              <w:fldChar w:fldCharType="end"/>
            </w:r>
          </w:hyperlink>
        </w:p>
        <w:p w14:paraId="52CD1B62" w14:textId="6304EF27" w:rsidR="00D700E5" w:rsidRDefault="00971530">
          <w:pPr>
            <w:pStyle w:val="TOC1"/>
            <w:tabs>
              <w:tab w:val="right" w:leader="dot" w:pos="9607"/>
            </w:tabs>
            <w:rPr>
              <w:rFonts w:eastAsiaTheme="minorEastAsia"/>
              <w:noProof/>
              <w:lang w:val="en-US"/>
            </w:rPr>
          </w:pPr>
          <w:hyperlink w:anchor="_Toc224550091" w:history="1">
            <w:r w:rsidR="00D700E5" w:rsidRPr="001213DE">
              <w:rPr>
                <w:rStyle w:val="Hyperlink"/>
                <w:rFonts w:asciiTheme="majorHAnsi" w:eastAsiaTheme="majorEastAsia" w:hAnsiTheme="majorHAnsi" w:cstheme="majorHAnsi"/>
                <w:b/>
                <w:noProof/>
                <w:lang w:val="sr-Latn-RS"/>
              </w:rPr>
              <w:t>2.1 Rezultati minimalnih uslova</w:t>
            </w:r>
            <w:r w:rsidR="00D700E5">
              <w:rPr>
                <w:noProof/>
                <w:webHidden/>
              </w:rPr>
              <w:tab/>
            </w:r>
            <w:r w:rsidR="00D700E5">
              <w:rPr>
                <w:noProof/>
                <w:webHidden/>
              </w:rPr>
              <w:fldChar w:fldCharType="begin"/>
            </w:r>
            <w:r w:rsidR="00D700E5">
              <w:rPr>
                <w:noProof/>
                <w:webHidden/>
              </w:rPr>
              <w:instrText xml:space="preserve"> PAGEREF _Toc224550091 \h </w:instrText>
            </w:r>
            <w:r w:rsidR="00D700E5">
              <w:rPr>
                <w:noProof/>
                <w:webHidden/>
              </w:rPr>
            </w:r>
            <w:r w:rsidR="00D700E5">
              <w:rPr>
                <w:noProof/>
                <w:webHidden/>
              </w:rPr>
              <w:fldChar w:fldCharType="separate"/>
            </w:r>
            <w:r w:rsidR="00D700E5">
              <w:rPr>
                <w:noProof/>
                <w:webHidden/>
              </w:rPr>
              <w:t>6</w:t>
            </w:r>
            <w:r w:rsidR="00D700E5">
              <w:rPr>
                <w:noProof/>
                <w:webHidden/>
              </w:rPr>
              <w:fldChar w:fldCharType="end"/>
            </w:r>
          </w:hyperlink>
        </w:p>
        <w:p w14:paraId="21A05033" w14:textId="6D625AB4" w:rsidR="00D700E5" w:rsidRDefault="00971530">
          <w:pPr>
            <w:pStyle w:val="TOC1"/>
            <w:tabs>
              <w:tab w:val="right" w:leader="dot" w:pos="9607"/>
            </w:tabs>
            <w:rPr>
              <w:rFonts w:eastAsiaTheme="minorEastAsia"/>
              <w:noProof/>
              <w:lang w:val="en-US"/>
            </w:rPr>
          </w:pPr>
          <w:hyperlink w:anchor="_Toc224550092" w:history="1">
            <w:r w:rsidR="00D700E5" w:rsidRPr="001213DE">
              <w:rPr>
                <w:rStyle w:val="Hyperlink"/>
                <w:rFonts w:asciiTheme="majorHAnsi" w:eastAsiaTheme="majorEastAsia" w:hAnsiTheme="majorHAnsi" w:cstheme="majorHAnsi"/>
                <w:b/>
                <w:noProof/>
                <w:lang w:val="sr-Latn-RS"/>
              </w:rPr>
              <w:t>2.2 Rezultati pokazatelja granta za opštinski učinak</w:t>
            </w:r>
            <w:r w:rsidR="00D700E5">
              <w:rPr>
                <w:noProof/>
                <w:webHidden/>
              </w:rPr>
              <w:tab/>
            </w:r>
            <w:r w:rsidR="00D700E5">
              <w:rPr>
                <w:noProof/>
                <w:webHidden/>
              </w:rPr>
              <w:fldChar w:fldCharType="begin"/>
            </w:r>
            <w:r w:rsidR="00D700E5">
              <w:rPr>
                <w:noProof/>
                <w:webHidden/>
              </w:rPr>
              <w:instrText xml:space="preserve"> PAGEREF _Toc224550092 \h </w:instrText>
            </w:r>
            <w:r w:rsidR="00D700E5">
              <w:rPr>
                <w:noProof/>
                <w:webHidden/>
              </w:rPr>
            </w:r>
            <w:r w:rsidR="00D700E5">
              <w:rPr>
                <w:noProof/>
                <w:webHidden/>
              </w:rPr>
              <w:fldChar w:fldCharType="separate"/>
            </w:r>
            <w:r w:rsidR="00D700E5">
              <w:rPr>
                <w:noProof/>
                <w:webHidden/>
              </w:rPr>
              <w:t>9</w:t>
            </w:r>
            <w:r w:rsidR="00D700E5">
              <w:rPr>
                <w:noProof/>
                <w:webHidden/>
              </w:rPr>
              <w:fldChar w:fldCharType="end"/>
            </w:r>
          </w:hyperlink>
        </w:p>
        <w:p w14:paraId="1E3186F3" w14:textId="0B248529" w:rsidR="00D700E5" w:rsidRDefault="00971530">
          <w:pPr>
            <w:pStyle w:val="TOC1"/>
            <w:tabs>
              <w:tab w:val="right" w:leader="dot" w:pos="9607"/>
            </w:tabs>
            <w:rPr>
              <w:rFonts w:eastAsiaTheme="minorEastAsia"/>
              <w:noProof/>
              <w:lang w:val="en-US"/>
            </w:rPr>
          </w:pPr>
          <w:hyperlink w:anchor="_Toc224550093" w:history="1">
            <w:r w:rsidR="00D700E5" w:rsidRPr="001213DE">
              <w:rPr>
                <w:rStyle w:val="Hyperlink"/>
                <w:rFonts w:eastAsiaTheme="majorEastAsia" w:cstheme="majorHAnsi"/>
                <w:b/>
                <w:noProof/>
                <w:lang w:val="sr-Latn-RS"/>
              </w:rPr>
              <w:t xml:space="preserve">2.2.1 </w:t>
            </w:r>
            <w:r w:rsidR="00D700E5" w:rsidRPr="001213DE">
              <w:rPr>
                <w:rStyle w:val="Hyperlink"/>
                <w:rFonts w:eastAsia="Times New Roman" w:cs="Calibri Light"/>
                <w:b/>
                <w:noProof/>
                <w:lang w:val="sr-Latn-RS"/>
              </w:rPr>
              <w:t>Opšti rezultati za pokazatelja granta za opštinski učinak</w:t>
            </w:r>
            <w:r w:rsidR="00D700E5">
              <w:rPr>
                <w:noProof/>
                <w:webHidden/>
              </w:rPr>
              <w:tab/>
            </w:r>
            <w:r w:rsidR="00D700E5">
              <w:rPr>
                <w:noProof/>
                <w:webHidden/>
              </w:rPr>
              <w:fldChar w:fldCharType="begin"/>
            </w:r>
            <w:r w:rsidR="00D700E5">
              <w:rPr>
                <w:noProof/>
                <w:webHidden/>
              </w:rPr>
              <w:instrText xml:space="preserve"> PAGEREF _Toc224550093 \h </w:instrText>
            </w:r>
            <w:r w:rsidR="00D700E5">
              <w:rPr>
                <w:noProof/>
                <w:webHidden/>
              </w:rPr>
            </w:r>
            <w:r w:rsidR="00D700E5">
              <w:rPr>
                <w:noProof/>
                <w:webHidden/>
              </w:rPr>
              <w:fldChar w:fldCharType="separate"/>
            </w:r>
            <w:r w:rsidR="00D700E5">
              <w:rPr>
                <w:noProof/>
                <w:webHidden/>
              </w:rPr>
              <w:t>9</w:t>
            </w:r>
            <w:r w:rsidR="00D700E5">
              <w:rPr>
                <w:noProof/>
                <w:webHidden/>
              </w:rPr>
              <w:fldChar w:fldCharType="end"/>
            </w:r>
          </w:hyperlink>
        </w:p>
        <w:p w14:paraId="6D12EA9F" w14:textId="2E9EAAA6" w:rsidR="00D700E5" w:rsidRDefault="00971530">
          <w:pPr>
            <w:pStyle w:val="TOC1"/>
            <w:tabs>
              <w:tab w:val="right" w:leader="dot" w:pos="9607"/>
            </w:tabs>
            <w:rPr>
              <w:rFonts w:eastAsiaTheme="minorEastAsia"/>
              <w:noProof/>
              <w:lang w:val="en-US"/>
            </w:rPr>
          </w:pPr>
          <w:hyperlink w:anchor="_Toc224550094" w:history="1">
            <w:r w:rsidR="00D700E5" w:rsidRPr="001213DE">
              <w:rPr>
                <w:rStyle w:val="Hyperlink"/>
                <w:rFonts w:eastAsiaTheme="majorEastAsia" w:cstheme="majorHAnsi"/>
                <w:b/>
                <w:noProof/>
                <w:lang w:val="sr-Latn-RS"/>
              </w:rPr>
              <w:t>2.2.2 Rezultati za pokazatelje GOU-a u oblastima i pod-oblastima</w:t>
            </w:r>
            <w:r w:rsidR="00D700E5">
              <w:rPr>
                <w:noProof/>
                <w:webHidden/>
              </w:rPr>
              <w:tab/>
            </w:r>
            <w:r w:rsidR="00D700E5">
              <w:rPr>
                <w:noProof/>
                <w:webHidden/>
              </w:rPr>
              <w:fldChar w:fldCharType="begin"/>
            </w:r>
            <w:r w:rsidR="00D700E5">
              <w:rPr>
                <w:noProof/>
                <w:webHidden/>
              </w:rPr>
              <w:instrText xml:space="preserve"> PAGEREF _Toc224550094 \h </w:instrText>
            </w:r>
            <w:r w:rsidR="00D700E5">
              <w:rPr>
                <w:noProof/>
                <w:webHidden/>
              </w:rPr>
            </w:r>
            <w:r w:rsidR="00D700E5">
              <w:rPr>
                <w:noProof/>
                <w:webHidden/>
              </w:rPr>
              <w:fldChar w:fldCharType="separate"/>
            </w:r>
            <w:r w:rsidR="00D700E5">
              <w:rPr>
                <w:noProof/>
                <w:webHidden/>
              </w:rPr>
              <w:t>12</w:t>
            </w:r>
            <w:r w:rsidR="00D700E5">
              <w:rPr>
                <w:noProof/>
                <w:webHidden/>
              </w:rPr>
              <w:fldChar w:fldCharType="end"/>
            </w:r>
          </w:hyperlink>
        </w:p>
        <w:p w14:paraId="09BFC782" w14:textId="24E2EFD7" w:rsidR="00D700E5" w:rsidRDefault="00971530">
          <w:pPr>
            <w:pStyle w:val="TOC1"/>
            <w:tabs>
              <w:tab w:val="right" w:leader="dot" w:pos="9607"/>
            </w:tabs>
            <w:rPr>
              <w:rFonts w:eastAsiaTheme="minorEastAsia"/>
              <w:noProof/>
              <w:lang w:val="en-US"/>
            </w:rPr>
          </w:pPr>
          <w:hyperlink w:anchor="_Toc224550095" w:history="1">
            <w:r w:rsidR="00D700E5" w:rsidRPr="001213DE">
              <w:rPr>
                <w:rStyle w:val="Hyperlink"/>
                <w:rFonts w:eastAsiaTheme="majorEastAsia" w:cstheme="majorHAnsi"/>
                <w:b/>
                <w:noProof/>
                <w:lang w:val="sr-Latn-RS"/>
              </w:rPr>
              <w:t>2.2.2.1 Učinak GOU-a u oblasti demokratskog upravljanja</w:t>
            </w:r>
            <w:r w:rsidR="00D700E5">
              <w:rPr>
                <w:noProof/>
                <w:webHidden/>
              </w:rPr>
              <w:tab/>
            </w:r>
            <w:r w:rsidR="00D700E5">
              <w:rPr>
                <w:noProof/>
                <w:webHidden/>
              </w:rPr>
              <w:fldChar w:fldCharType="begin"/>
            </w:r>
            <w:r w:rsidR="00D700E5">
              <w:rPr>
                <w:noProof/>
                <w:webHidden/>
              </w:rPr>
              <w:instrText xml:space="preserve"> PAGEREF _Toc224550095 \h </w:instrText>
            </w:r>
            <w:r w:rsidR="00D700E5">
              <w:rPr>
                <w:noProof/>
                <w:webHidden/>
              </w:rPr>
            </w:r>
            <w:r w:rsidR="00D700E5">
              <w:rPr>
                <w:noProof/>
                <w:webHidden/>
              </w:rPr>
              <w:fldChar w:fldCharType="separate"/>
            </w:r>
            <w:r w:rsidR="00D700E5">
              <w:rPr>
                <w:noProof/>
                <w:webHidden/>
              </w:rPr>
              <w:t>13</w:t>
            </w:r>
            <w:r w:rsidR="00D700E5">
              <w:rPr>
                <w:noProof/>
                <w:webHidden/>
              </w:rPr>
              <w:fldChar w:fldCharType="end"/>
            </w:r>
          </w:hyperlink>
        </w:p>
        <w:p w14:paraId="1D556F84" w14:textId="7A4445C7" w:rsidR="00D700E5" w:rsidRDefault="00971530">
          <w:pPr>
            <w:pStyle w:val="TOC1"/>
            <w:tabs>
              <w:tab w:val="right" w:leader="dot" w:pos="9607"/>
            </w:tabs>
            <w:rPr>
              <w:rFonts w:eastAsiaTheme="minorEastAsia"/>
              <w:noProof/>
              <w:lang w:val="en-US"/>
            </w:rPr>
          </w:pPr>
          <w:hyperlink w:anchor="_Toc224550096" w:history="1">
            <w:r w:rsidR="00D700E5" w:rsidRPr="001213DE">
              <w:rPr>
                <w:rStyle w:val="Hyperlink"/>
                <w:rFonts w:eastAsiaTheme="majorEastAsia" w:cstheme="majorHAnsi"/>
                <w:b/>
                <w:noProof/>
                <w:lang w:val="sr-Latn-RS"/>
              </w:rPr>
              <w:t>2.2.2.2 Učinak za GOU u oblasti „Opštinsko upravljanje“</w:t>
            </w:r>
            <w:r w:rsidR="00D700E5">
              <w:rPr>
                <w:noProof/>
                <w:webHidden/>
              </w:rPr>
              <w:tab/>
            </w:r>
            <w:r w:rsidR="00D700E5">
              <w:rPr>
                <w:noProof/>
                <w:webHidden/>
              </w:rPr>
              <w:fldChar w:fldCharType="begin"/>
            </w:r>
            <w:r w:rsidR="00D700E5">
              <w:rPr>
                <w:noProof/>
                <w:webHidden/>
              </w:rPr>
              <w:instrText xml:space="preserve"> PAGEREF _Toc224550096 \h </w:instrText>
            </w:r>
            <w:r w:rsidR="00D700E5">
              <w:rPr>
                <w:noProof/>
                <w:webHidden/>
              </w:rPr>
            </w:r>
            <w:r w:rsidR="00D700E5">
              <w:rPr>
                <w:noProof/>
                <w:webHidden/>
              </w:rPr>
              <w:fldChar w:fldCharType="separate"/>
            </w:r>
            <w:r w:rsidR="00D700E5">
              <w:rPr>
                <w:noProof/>
                <w:webHidden/>
              </w:rPr>
              <w:t>14</w:t>
            </w:r>
            <w:r w:rsidR="00D700E5">
              <w:rPr>
                <w:noProof/>
                <w:webHidden/>
              </w:rPr>
              <w:fldChar w:fldCharType="end"/>
            </w:r>
          </w:hyperlink>
        </w:p>
        <w:p w14:paraId="71A3D1A6" w14:textId="32FB7833" w:rsidR="00D700E5" w:rsidRDefault="00971530">
          <w:pPr>
            <w:pStyle w:val="TOC1"/>
            <w:tabs>
              <w:tab w:val="right" w:leader="dot" w:pos="9607"/>
            </w:tabs>
            <w:rPr>
              <w:rFonts w:eastAsiaTheme="minorEastAsia"/>
              <w:noProof/>
              <w:lang w:val="en-US"/>
            </w:rPr>
          </w:pPr>
          <w:hyperlink w:anchor="_Toc224550097" w:history="1">
            <w:r w:rsidR="00D700E5" w:rsidRPr="001213DE">
              <w:rPr>
                <w:rStyle w:val="Hyperlink"/>
                <w:rFonts w:eastAsiaTheme="majorEastAsia" w:cstheme="majorHAnsi"/>
                <w:b/>
                <w:noProof/>
                <w:lang w:val="sr-Latn-RS"/>
              </w:rPr>
              <w:t>2.2.2.3 Učinak GOU-a u oblasti „Pružanje usluga“</w:t>
            </w:r>
            <w:r w:rsidR="00D700E5">
              <w:rPr>
                <w:noProof/>
                <w:webHidden/>
              </w:rPr>
              <w:tab/>
            </w:r>
            <w:r w:rsidR="00D700E5">
              <w:rPr>
                <w:noProof/>
                <w:webHidden/>
              </w:rPr>
              <w:fldChar w:fldCharType="begin"/>
            </w:r>
            <w:r w:rsidR="00D700E5">
              <w:rPr>
                <w:noProof/>
                <w:webHidden/>
              </w:rPr>
              <w:instrText xml:space="preserve"> PAGEREF _Toc224550097 \h </w:instrText>
            </w:r>
            <w:r w:rsidR="00D700E5">
              <w:rPr>
                <w:noProof/>
                <w:webHidden/>
              </w:rPr>
            </w:r>
            <w:r w:rsidR="00D700E5">
              <w:rPr>
                <w:noProof/>
                <w:webHidden/>
              </w:rPr>
              <w:fldChar w:fldCharType="separate"/>
            </w:r>
            <w:r w:rsidR="00D700E5">
              <w:rPr>
                <w:noProof/>
                <w:webHidden/>
              </w:rPr>
              <w:t>15</w:t>
            </w:r>
            <w:r w:rsidR="00D700E5">
              <w:rPr>
                <w:noProof/>
                <w:webHidden/>
              </w:rPr>
              <w:fldChar w:fldCharType="end"/>
            </w:r>
          </w:hyperlink>
        </w:p>
        <w:p w14:paraId="34AEBE13" w14:textId="324A1155" w:rsidR="00D700E5" w:rsidRDefault="00971530">
          <w:pPr>
            <w:pStyle w:val="TOC1"/>
            <w:tabs>
              <w:tab w:val="right" w:leader="dot" w:pos="9607"/>
            </w:tabs>
            <w:rPr>
              <w:rFonts w:eastAsiaTheme="minorEastAsia"/>
              <w:noProof/>
              <w:lang w:val="en-US"/>
            </w:rPr>
          </w:pPr>
          <w:hyperlink w:anchor="_Toc224550098" w:history="1">
            <w:r w:rsidR="00D700E5" w:rsidRPr="001213DE">
              <w:rPr>
                <w:rStyle w:val="Hyperlink"/>
                <w:rFonts w:eastAsiaTheme="majorEastAsia" w:cstheme="majorHAnsi"/>
                <w:b/>
                <w:noProof/>
                <w:lang w:val="sr-Latn-RS"/>
              </w:rPr>
              <w:t>2.2.3 Rezultati u pokazateljima GOU-a</w:t>
            </w:r>
            <w:r w:rsidR="00D700E5">
              <w:rPr>
                <w:noProof/>
                <w:webHidden/>
              </w:rPr>
              <w:tab/>
            </w:r>
            <w:r w:rsidR="00D700E5">
              <w:rPr>
                <w:noProof/>
                <w:webHidden/>
              </w:rPr>
              <w:fldChar w:fldCharType="begin"/>
            </w:r>
            <w:r w:rsidR="00D700E5">
              <w:rPr>
                <w:noProof/>
                <w:webHidden/>
              </w:rPr>
              <w:instrText xml:space="preserve"> PAGEREF _Toc224550098 \h </w:instrText>
            </w:r>
            <w:r w:rsidR="00D700E5">
              <w:rPr>
                <w:noProof/>
                <w:webHidden/>
              </w:rPr>
            </w:r>
            <w:r w:rsidR="00D700E5">
              <w:rPr>
                <w:noProof/>
                <w:webHidden/>
              </w:rPr>
              <w:fldChar w:fldCharType="separate"/>
            </w:r>
            <w:r w:rsidR="00D700E5">
              <w:rPr>
                <w:noProof/>
                <w:webHidden/>
              </w:rPr>
              <w:t>15</w:t>
            </w:r>
            <w:r w:rsidR="00D700E5">
              <w:rPr>
                <w:noProof/>
                <w:webHidden/>
              </w:rPr>
              <w:fldChar w:fldCharType="end"/>
            </w:r>
          </w:hyperlink>
        </w:p>
        <w:p w14:paraId="2EBEA09E" w14:textId="16D71943" w:rsidR="00D700E5" w:rsidRDefault="00971530">
          <w:pPr>
            <w:pStyle w:val="TOC1"/>
            <w:tabs>
              <w:tab w:val="right" w:leader="dot" w:pos="9607"/>
            </w:tabs>
            <w:rPr>
              <w:rFonts w:eastAsiaTheme="minorEastAsia"/>
              <w:noProof/>
              <w:lang w:val="en-US"/>
            </w:rPr>
          </w:pPr>
          <w:hyperlink w:anchor="_Toc224550099" w:history="1">
            <w:r w:rsidR="00D700E5" w:rsidRPr="001213DE">
              <w:rPr>
                <w:rStyle w:val="Hyperlink"/>
                <w:rFonts w:asciiTheme="majorHAnsi" w:eastAsiaTheme="majorEastAsia" w:hAnsiTheme="majorHAnsi" w:cstheme="majorHAnsi"/>
                <w:b/>
                <w:noProof/>
                <w:lang w:val="sr-Latn-RS"/>
              </w:rPr>
              <w:t>2.2.3 Grant za opštinski učinak za 2026. – iznosi granta</w:t>
            </w:r>
            <w:r w:rsidR="00D700E5">
              <w:rPr>
                <w:noProof/>
                <w:webHidden/>
              </w:rPr>
              <w:tab/>
            </w:r>
            <w:r w:rsidR="00D700E5">
              <w:rPr>
                <w:noProof/>
                <w:webHidden/>
              </w:rPr>
              <w:fldChar w:fldCharType="begin"/>
            </w:r>
            <w:r w:rsidR="00D700E5">
              <w:rPr>
                <w:noProof/>
                <w:webHidden/>
              </w:rPr>
              <w:instrText xml:space="preserve"> PAGEREF _Toc224550099 \h </w:instrText>
            </w:r>
            <w:r w:rsidR="00D700E5">
              <w:rPr>
                <w:noProof/>
                <w:webHidden/>
              </w:rPr>
            </w:r>
            <w:r w:rsidR="00D700E5">
              <w:rPr>
                <w:noProof/>
                <w:webHidden/>
              </w:rPr>
              <w:fldChar w:fldCharType="separate"/>
            </w:r>
            <w:r w:rsidR="00D700E5">
              <w:rPr>
                <w:noProof/>
                <w:webHidden/>
              </w:rPr>
              <w:t>17</w:t>
            </w:r>
            <w:r w:rsidR="00D700E5">
              <w:rPr>
                <w:noProof/>
                <w:webHidden/>
              </w:rPr>
              <w:fldChar w:fldCharType="end"/>
            </w:r>
          </w:hyperlink>
        </w:p>
        <w:p w14:paraId="62248C56" w14:textId="39D3BF8F" w:rsidR="00D700E5" w:rsidRDefault="00971530">
          <w:pPr>
            <w:pStyle w:val="TOC1"/>
            <w:tabs>
              <w:tab w:val="right" w:leader="dot" w:pos="9607"/>
            </w:tabs>
            <w:rPr>
              <w:rFonts w:eastAsiaTheme="minorEastAsia"/>
              <w:noProof/>
              <w:lang w:val="en-US"/>
            </w:rPr>
          </w:pPr>
          <w:hyperlink w:anchor="_Toc224550100" w:history="1">
            <w:r w:rsidR="00D700E5" w:rsidRPr="001213DE">
              <w:rPr>
                <w:rStyle w:val="Hyperlink"/>
                <w:rFonts w:asciiTheme="majorHAnsi" w:eastAsiaTheme="majorEastAsia" w:hAnsiTheme="majorHAnsi" w:cstheme="majorHAnsi"/>
                <w:b/>
                <w:noProof/>
                <w:lang w:val="sr-Latn-RS"/>
              </w:rPr>
              <w:t>Prilog 1. Procena minimalnih uslova</w:t>
            </w:r>
            <w:r w:rsidR="00D700E5">
              <w:rPr>
                <w:noProof/>
                <w:webHidden/>
              </w:rPr>
              <w:tab/>
            </w:r>
            <w:r w:rsidR="00D700E5">
              <w:rPr>
                <w:noProof/>
                <w:webHidden/>
              </w:rPr>
              <w:fldChar w:fldCharType="begin"/>
            </w:r>
            <w:r w:rsidR="00D700E5">
              <w:rPr>
                <w:noProof/>
                <w:webHidden/>
              </w:rPr>
              <w:instrText xml:space="preserve"> PAGEREF _Toc224550100 \h </w:instrText>
            </w:r>
            <w:r w:rsidR="00D700E5">
              <w:rPr>
                <w:noProof/>
                <w:webHidden/>
              </w:rPr>
            </w:r>
            <w:r w:rsidR="00D700E5">
              <w:rPr>
                <w:noProof/>
                <w:webHidden/>
              </w:rPr>
              <w:fldChar w:fldCharType="separate"/>
            </w:r>
            <w:r w:rsidR="00D700E5">
              <w:rPr>
                <w:noProof/>
                <w:webHidden/>
              </w:rPr>
              <w:t>18</w:t>
            </w:r>
            <w:r w:rsidR="00D700E5">
              <w:rPr>
                <w:noProof/>
                <w:webHidden/>
              </w:rPr>
              <w:fldChar w:fldCharType="end"/>
            </w:r>
          </w:hyperlink>
        </w:p>
        <w:p w14:paraId="2F28AF43" w14:textId="47F729DE" w:rsidR="00D700E5" w:rsidRDefault="00971530">
          <w:pPr>
            <w:pStyle w:val="TOC1"/>
            <w:tabs>
              <w:tab w:val="right" w:leader="dot" w:pos="9607"/>
            </w:tabs>
            <w:rPr>
              <w:rFonts w:eastAsiaTheme="minorEastAsia"/>
              <w:noProof/>
              <w:lang w:val="en-US"/>
            </w:rPr>
          </w:pPr>
          <w:hyperlink w:anchor="_Toc224550101" w:history="1">
            <w:r w:rsidR="00D700E5" w:rsidRPr="001213DE">
              <w:rPr>
                <w:rStyle w:val="Hyperlink"/>
                <w:rFonts w:asciiTheme="majorHAnsi" w:eastAsiaTheme="majorEastAsia" w:hAnsiTheme="majorHAnsi" w:cstheme="majorHAnsi"/>
                <w:b/>
                <w:noProof/>
                <w:lang w:val="sr-Latn-RS"/>
              </w:rPr>
              <w:t>Prilog 2. Procena pokazatelja GOU-a, prema oblastima, pod-oblastima, pokazateljima</w:t>
            </w:r>
            <w:r w:rsidR="00D700E5">
              <w:rPr>
                <w:noProof/>
                <w:webHidden/>
              </w:rPr>
              <w:tab/>
            </w:r>
            <w:r w:rsidR="00D700E5">
              <w:rPr>
                <w:noProof/>
                <w:webHidden/>
              </w:rPr>
              <w:fldChar w:fldCharType="begin"/>
            </w:r>
            <w:r w:rsidR="00D700E5">
              <w:rPr>
                <w:noProof/>
                <w:webHidden/>
              </w:rPr>
              <w:instrText xml:space="preserve"> PAGEREF _Toc224550101 \h </w:instrText>
            </w:r>
            <w:r w:rsidR="00D700E5">
              <w:rPr>
                <w:noProof/>
                <w:webHidden/>
              </w:rPr>
            </w:r>
            <w:r w:rsidR="00D700E5">
              <w:rPr>
                <w:noProof/>
                <w:webHidden/>
              </w:rPr>
              <w:fldChar w:fldCharType="separate"/>
            </w:r>
            <w:r w:rsidR="00D700E5">
              <w:rPr>
                <w:noProof/>
                <w:webHidden/>
              </w:rPr>
              <w:t>19</w:t>
            </w:r>
            <w:r w:rsidR="00D700E5">
              <w:rPr>
                <w:noProof/>
                <w:webHidden/>
              </w:rPr>
              <w:fldChar w:fldCharType="end"/>
            </w:r>
          </w:hyperlink>
        </w:p>
        <w:p w14:paraId="46D86605" w14:textId="6463A72F" w:rsidR="00D700E5" w:rsidRDefault="00971530">
          <w:pPr>
            <w:pStyle w:val="TOC1"/>
            <w:tabs>
              <w:tab w:val="right" w:leader="dot" w:pos="9607"/>
            </w:tabs>
            <w:rPr>
              <w:rFonts w:eastAsiaTheme="minorEastAsia"/>
              <w:noProof/>
              <w:lang w:val="en-US"/>
            </w:rPr>
          </w:pPr>
          <w:hyperlink w:anchor="_Toc224550102" w:history="1">
            <w:r w:rsidR="00D700E5" w:rsidRPr="001213DE">
              <w:rPr>
                <w:rStyle w:val="Hyperlink"/>
                <w:rFonts w:asciiTheme="majorHAnsi" w:eastAsiaTheme="majorEastAsia" w:hAnsiTheme="majorHAnsi" w:cstheme="majorHAnsi"/>
                <w:b/>
                <w:noProof/>
                <w:lang w:val="sr-Latn-RS"/>
              </w:rPr>
              <w:t>Prilog 3 .Dodela granta</w:t>
            </w:r>
            <w:r w:rsidR="00D700E5">
              <w:rPr>
                <w:noProof/>
                <w:webHidden/>
              </w:rPr>
              <w:tab/>
            </w:r>
            <w:r w:rsidR="00D700E5">
              <w:rPr>
                <w:noProof/>
                <w:webHidden/>
              </w:rPr>
              <w:fldChar w:fldCharType="begin"/>
            </w:r>
            <w:r w:rsidR="00D700E5">
              <w:rPr>
                <w:noProof/>
                <w:webHidden/>
              </w:rPr>
              <w:instrText xml:space="preserve"> PAGEREF _Toc224550102 \h </w:instrText>
            </w:r>
            <w:r w:rsidR="00D700E5">
              <w:rPr>
                <w:noProof/>
                <w:webHidden/>
              </w:rPr>
            </w:r>
            <w:r w:rsidR="00D700E5">
              <w:rPr>
                <w:noProof/>
                <w:webHidden/>
              </w:rPr>
              <w:fldChar w:fldCharType="separate"/>
            </w:r>
            <w:r w:rsidR="00D700E5">
              <w:rPr>
                <w:noProof/>
                <w:webHidden/>
              </w:rPr>
              <w:t>23</w:t>
            </w:r>
            <w:r w:rsidR="00D700E5">
              <w:rPr>
                <w:noProof/>
                <w:webHidden/>
              </w:rPr>
              <w:fldChar w:fldCharType="end"/>
            </w:r>
          </w:hyperlink>
        </w:p>
        <w:p w14:paraId="76CEAEFF" w14:textId="66122FEA" w:rsidR="00D700E5" w:rsidRDefault="00971530">
          <w:pPr>
            <w:pStyle w:val="TOC1"/>
            <w:tabs>
              <w:tab w:val="right" w:leader="dot" w:pos="9607"/>
            </w:tabs>
            <w:rPr>
              <w:rFonts w:eastAsiaTheme="minorEastAsia"/>
              <w:noProof/>
              <w:lang w:val="en-US"/>
            </w:rPr>
          </w:pPr>
          <w:hyperlink w:anchor="_Toc224550103" w:history="1">
            <w:r w:rsidR="00D700E5" w:rsidRPr="001213DE">
              <w:rPr>
                <w:rStyle w:val="Hyperlink"/>
                <w:rFonts w:asciiTheme="majorHAnsi" w:eastAsiaTheme="majorEastAsia" w:hAnsiTheme="majorHAnsi" w:cstheme="majorHAnsi"/>
                <w:b/>
                <w:noProof/>
                <w:lang w:val="sr-Latn-RS"/>
              </w:rPr>
              <w:t>Prilog 4. Pregled rezultata učinka svake opštine</w:t>
            </w:r>
            <w:r w:rsidR="00D700E5">
              <w:rPr>
                <w:noProof/>
                <w:webHidden/>
              </w:rPr>
              <w:tab/>
            </w:r>
            <w:r w:rsidR="00D700E5">
              <w:rPr>
                <w:noProof/>
                <w:webHidden/>
              </w:rPr>
              <w:fldChar w:fldCharType="begin"/>
            </w:r>
            <w:r w:rsidR="00D700E5">
              <w:rPr>
                <w:noProof/>
                <w:webHidden/>
              </w:rPr>
              <w:instrText xml:space="preserve"> PAGEREF _Toc224550103 \h </w:instrText>
            </w:r>
            <w:r w:rsidR="00D700E5">
              <w:rPr>
                <w:noProof/>
                <w:webHidden/>
              </w:rPr>
            </w:r>
            <w:r w:rsidR="00D700E5">
              <w:rPr>
                <w:noProof/>
                <w:webHidden/>
              </w:rPr>
              <w:fldChar w:fldCharType="separate"/>
            </w:r>
            <w:r w:rsidR="00D700E5">
              <w:rPr>
                <w:noProof/>
                <w:webHidden/>
              </w:rPr>
              <w:t>25</w:t>
            </w:r>
            <w:r w:rsidR="00D700E5">
              <w:rPr>
                <w:noProof/>
                <w:webHidden/>
              </w:rPr>
              <w:fldChar w:fldCharType="end"/>
            </w:r>
          </w:hyperlink>
        </w:p>
        <w:p w14:paraId="721C5D07" w14:textId="3DDD5661" w:rsidR="00D700E5" w:rsidRDefault="00971530">
          <w:pPr>
            <w:pStyle w:val="TOC1"/>
            <w:tabs>
              <w:tab w:val="right" w:leader="dot" w:pos="9607"/>
            </w:tabs>
            <w:rPr>
              <w:rFonts w:eastAsiaTheme="minorEastAsia"/>
              <w:noProof/>
              <w:lang w:val="en-US"/>
            </w:rPr>
          </w:pPr>
          <w:hyperlink w:anchor="_Toc224550104" w:history="1">
            <w:r w:rsidR="00D700E5" w:rsidRPr="001213DE">
              <w:rPr>
                <w:rStyle w:val="Hyperlink"/>
                <w:rFonts w:asciiTheme="majorHAnsi" w:eastAsiaTheme="majorEastAsia" w:hAnsiTheme="majorHAnsi" w:cstheme="majorHAnsi"/>
                <w:b/>
                <w:noProof/>
              </w:rPr>
              <w:t>Dodatak 5 Grant opštinskog učinka za 2025. godinu – Metodologija procene</w:t>
            </w:r>
            <w:r w:rsidR="00D700E5">
              <w:rPr>
                <w:noProof/>
                <w:webHidden/>
              </w:rPr>
              <w:tab/>
            </w:r>
            <w:r w:rsidR="00D700E5">
              <w:rPr>
                <w:noProof/>
                <w:webHidden/>
              </w:rPr>
              <w:fldChar w:fldCharType="begin"/>
            </w:r>
            <w:r w:rsidR="00D700E5">
              <w:rPr>
                <w:noProof/>
                <w:webHidden/>
              </w:rPr>
              <w:instrText xml:space="preserve"> PAGEREF _Toc224550104 \h </w:instrText>
            </w:r>
            <w:r w:rsidR="00D700E5">
              <w:rPr>
                <w:noProof/>
                <w:webHidden/>
              </w:rPr>
            </w:r>
            <w:r w:rsidR="00D700E5">
              <w:rPr>
                <w:noProof/>
                <w:webHidden/>
              </w:rPr>
              <w:fldChar w:fldCharType="separate"/>
            </w:r>
            <w:r w:rsidR="00D700E5">
              <w:rPr>
                <w:noProof/>
                <w:webHidden/>
              </w:rPr>
              <w:t>63</w:t>
            </w:r>
            <w:r w:rsidR="00D700E5">
              <w:rPr>
                <w:noProof/>
                <w:webHidden/>
              </w:rPr>
              <w:fldChar w:fldCharType="end"/>
            </w:r>
          </w:hyperlink>
        </w:p>
        <w:p w14:paraId="1D35EEB0" w14:textId="4529C111" w:rsidR="0006116B" w:rsidRPr="00FF3BB3" w:rsidRDefault="0006116B" w:rsidP="00FF3BB3">
          <w:pPr>
            <w:rPr>
              <w:lang w:val="sr-Latn-RS"/>
            </w:rPr>
          </w:pPr>
          <w:r w:rsidRPr="00FF3BB3">
            <w:rPr>
              <w:b/>
              <w:bCs/>
              <w:noProof/>
              <w:lang w:val="sr-Latn-RS"/>
            </w:rPr>
            <w:fldChar w:fldCharType="end"/>
          </w:r>
        </w:p>
      </w:sdtContent>
    </w:sdt>
    <w:p w14:paraId="39128AEA" w14:textId="77777777" w:rsidR="0006116B" w:rsidRPr="00FF3BB3" w:rsidRDefault="0006116B" w:rsidP="00FF3BB3">
      <w:pPr>
        <w:jc w:val="center"/>
        <w:rPr>
          <w:lang w:val="sr-Latn-RS"/>
        </w:rPr>
      </w:pPr>
    </w:p>
    <w:p w14:paraId="1767F699" w14:textId="77777777" w:rsidR="0006116B" w:rsidRPr="00FF3BB3" w:rsidRDefault="0006116B" w:rsidP="00FF3BB3">
      <w:pPr>
        <w:rPr>
          <w:lang w:val="sr-Latn-RS"/>
        </w:rPr>
      </w:pPr>
      <w:r w:rsidRPr="00FF3BB3">
        <w:rPr>
          <w:lang w:val="sr-Latn-RS"/>
        </w:rPr>
        <w:br w:type="page"/>
      </w:r>
    </w:p>
    <w:p w14:paraId="0A6BF8EB" w14:textId="77777777" w:rsidR="0006116B" w:rsidRPr="00FF3BB3" w:rsidRDefault="0006116B" w:rsidP="00FF3BB3">
      <w:pPr>
        <w:rPr>
          <w:lang w:val="sr-Latn-RS"/>
        </w:rPr>
      </w:pPr>
    </w:p>
    <w:p w14:paraId="6B38FEB9" w14:textId="77777777" w:rsidR="0006116B" w:rsidRPr="00FF3BB3" w:rsidRDefault="0006116B" w:rsidP="00FF3BB3">
      <w:pPr>
        <w:rPr>
          <w:lang w:val="sr-Latn-RS"/>
        </w:rPr>
      </w:pPr>
    </w:p>
    <w:p w14:paraId="0490F79F" w14:textId="10E3CB50" w:rsidR="0006116B" w:rsidRPr="00FF3BB3" w:rsidRDefault="00FF3BB3" w:rsidP="00FF3BB3">
      <w:pPr>
        <w:keepNext/>
        <w:shd w:val="clear" w:color="auto" w:fill="215E99" w:themeFill="text2" w:themeFillTint="BF"/>
        <w:tabs>
          <w:tab w:val="left" w:pos="540"/>
        </w:tabs>
        <w:spacing w:after="0" w:line="240" w:lineRule="auto"/>
        <w:outlineLvl w:val="0"/>
        <w:rPr>
          <w:rFonts w:asciiTheme="majorHAnsi" w:eastAsiaTheme="majorEastAsia" w:hAnsiTheme="majorHAnsi" w:cstheme="majorHAnsi"/>
          <w:b/>
          <w:color w:val="FFFFFF" w:themeColor="background1"/>
          <w:sz w:val="30"/>
          <w:szCs w:val="30"/>
          <w:lang w:val="sr-Latn-RS"/>
        </w:rPr>
      </w:pPr>
      <w:bookmarkStart w:id="2" w:name="_Toc224550088"/>
      <w:r w:rsidRPr="00FF3BB3">
        <w:rPr>
          <w:rFonts w:asciiTheme="majorHAnsi" w:eastAsiaTheme="majorEastAsia" w:hAnsiTheme="majorHAnsi" w:cstheme="majorHAnsi"/>
          <w:b/>
          <w:color w:val="FFFFFF" w:themeColor="background1"/>
          <w:sz w:val="30"/>
          <w:szCs w:val="30"/>
          <w:lang w:val="sr-Latn-RS"/>
        </w:rPr>
        <w:t>Opšti pregled</w:t>
      </w:r>
      <w:bookmarkEnd w:id="2"/>
      <w:r w:rsidRPr="00FF3BB3">
        <w:rPr>
          <w:rFonts w:asciiTheme="majorHAnsi" w:eastAsiaTheme="majorEastAsia" w:hAnsiTheme="majorHAnsi" w:cstheme="majorHAnsi"/>
          <w:b/>
          <w:color w:val="FFFFFF" w:themeColor="background1"/>
          <w:sz w:val="30"/>
          <w:szCs w:val="30"/>
          <w:lang w:val="sr-Latn-RS"/>
        </w:rPr>
        <w:t xml:space="preserve"> </w:t>
      </w:r>
    </w:p>
    <w:p w14:paraId="48783E57" w14:textId="77777777" w:rsidR="0006116B" w:rsidRPr="00FF3BB3" w:rsidRDefault="0006116B" w:rsidP="00FF3BB3">
      <w:pPr>
        <w:jc w:val="both"/>
        <w:rPr>
          <w:lang w:val="sr-Latn-RS"/>
        </w:rPr>
      </w:pPr>
    </w:p>
    <w:p w14:paraId="47FC768F" w14:textId="136E590F" w:rsidR="0006116B" w:rsidRPr="00FF3BB3" w:rsidRDefault="0006116B" w:rsidP="00FF3BB3">
      <w:pPr>
        <w:jc w:val="both"/>
        <w:rPr>
          <w:color w:val="0E2841" w:themeColor="text2"/>
          <w:kern w:val="2"/>
          <w:lang w:val="sr-Latn-RS"/>
          <w14:ligatures w14:val="standardContextual"/>
        </w:rPr>
      </w:pPr>
      <w:r w:rsidRPr="00FF3BB3">
        <w:rPr>
          <w:b/>
          <w:bCs/>
          <w:color w:val="0E2841" w:themeColor="text2"/>
          <w:kern w:val="2"/>
          <w:lang w:val="sr-Latn-RS"/>
          <w14:ligatures w14:val="standardContextual"/>
        </w:rPr>
        <w:t xml:space="preserve">Grant za opštinski učinak </w:t>
      </w:r>
      <w:r w:rsidRPr="00FF3BB3">
        <w:rPr>
          <w:color w:val="0E2841" w:themeColor="text2"/>
          <w:kern w:val="2"/>
          <w:lang w:val="sr-Latn-RS"/>
          <w14:ligatures w14:val="standardContextual"/>
        </w:rPr>
        <w:t xml:space="preserve">se </w:t>
      </w:r>
      <w:r w:rsidR="00FF3BB3">
        <w:rPr>
          <w:color w:val="0E2841" w:themeColor="text2"/>
          <w:kern w:val="2"/>
          <w:lang w:val="sr-Latn-RS"/>
          <w14:ligatures w14:val="standardContextual"/>
        </w:rPr>
        <w:t>daje</w:t>
      </w:r>
      <w:r w:rsidRPr="00FF3BB3">
        <w:rPr>
          <w:color w:val="0E2841" w:themeColor="text2"/>
          <w:kern w:val="2"/>
          <w:lang w:val="sr-Latn-RS"/>
          <w14:ligatures w14:val="standardContextual"/>
        </w:rPr>
        <w:t xml:space="preserve"> u obliku finansijske podrške opštinama i ima za cilj da ih stimuliše da poboljšaju svoj učinak u oblasti lokalne demokratske </w:t>
      </w:r>
      <w:r w:rsidR="00FF3BB3">
        <w:rPr>
          <w:color w:val="0E2841" w:themeColor="text2"/>
          <w:kern w:val="2"/>
          <w:lang w:val="sr-Latn-RS"/>
          <w14:ligatures w14:val="standardContextual"/>
        </w:rPr>
        <w:t>vladavine</w:t>
      </w:r>
      <w:r w:rsidRPr="00FF3BB3">
        <w:rPr>
          <w:color w:val="0E2841" w:themeColor="text2"/>
          <w:kern w:val="2"/>
          <w:lang w:val="sr-Latn-RS"/>
          <w14:ligatures w14:val="standardContextual"/>
        </w:rPr>
        <w:t>, opštinskog upravljanja i pružanja usluga.</w:t>
      </w:r>
    </w:p>
    <w:p w14:paraId="3B5D1574" w14:textId="6111B41A" w:rsidR="0006116B" w:rsidRPr="00FF3BB3" w:rsidRDefault="0006116B" w:rsidP="00FF3BB3">
      <w:pPr>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Grant za opštinski </w:t>
      </w:r>
      <w:r w:rsidR="00FF3BB3">
        <w:rPr>
          <w:color w:val="0E2841" w:themeColor="text2"/>
          <w:kern w:val="2"/>
          <w:lang w:val="sr-Latn-RS"/>
          <w14:ligatures w14:val="standardContextual"/>
        </w:rPr>
        <w:t>učinak za fiskalnu 202</w:t>
      </w:r>
      <w:r w:rsidR="001A2494">
        <w:rPr>
          <w:color w:val="0E2841" w:themeColor="text2"/>
          <w:kern w:val="2"/>
          <w:lang w:val="sr-Latn-RS"/>
          <w14:ligatures w14:val="standardContextual"/>
        </w:rPr>
        <w:t>6</w:t>
      </w:r>
      <w:r w:rsidR="00FF3BB3">
        <w:rPr>
          <w:color w:val="0E2841" w:themeColor="text2"/>
          <w:kern w:val="2"/>
          <w:lang w:val="sr-Latn-RS"/>
          <w14:ligatures w14:val="standardContextual"/>
        </w:rPr>
        <w:t>. godinu</w:t>
      </w:r>
      <w:r w:rsidRPr="00FF3BB3">
        <w:rPr>
          <w:rFonts w:eastAsia="Segoe UI Symbol"/>
          <w:color w:val="0E2841" w:themeColor="text2"/>
          <w:kern w:val="2"/>
          <w:lang w:val="sr-Latn-RS"/>
          <w14:ligatures w14:val="standardContextual"/>
        </w:rPr>
        <w:t>, na osnovu učinka iz 202</w:t>
      </w:r>
      <w:r w:rsidR="001A2494">
        <w:rPr>
          <w:rFonts w:eastAsia="Segoe UI Symbol"/>
          <w:color w:val="0E2841" w:themeColor="text2"/>
          <w:kern w:val="2"/>
          <w:lang w:val="sr-Latn-RS"/>
          <w14:ligatures w14:val="standardContextual"/>
        </w:rPr>
        <w:t>4</w:t>
      </w:r>
      <w:r w:rsidRPr="00FF3BB3">
        <w:rPr>
          <w:rFonts w:eastAsia="Segoe UI Symbol"/>
          <w:color w:val="0E2841" w:themeColor="text2"/>
          <w:kern w:val="2"/>
          <w:lang w:val="sr-Latn-RS"/>
          <w14:ligatures w14:val="standardContextual"/>
        </w:rPr>
        <w:t xml:space="preserve">. godine ima vrednost od </w:t>
      </w:r>
      <w:r w:rsidR="001A2494">
        <w:rPr>
          <w:rFonts w:eastAsia="Segoe UI Symbol"/>
          <w:color w:val="0E2841" w:themeColor="text2"/>
          <w:kern w:val="2"/>
          <w:lang w:val="sr-Latn-RS"/>
          <w14:ligatures w14:val="standardContextual"/>
        </w:rPr>
        <w:t>5</w:t>
      </w:r>
      <w:r w:rsidRPr="00FF3BB3">
        <w:rPr>
          <w:rFonts w:eastAsia="Segoe UI Symbol"/>
          <w:color w:val="0E2841" w:themeColor="text2"/>
          <w:kern w:val="2"/>
          <w:lang w:val="sr-Latn-RS"/>
          <w14:ligatures w14:val="standardContextual"/>
        </w:rPr>
        <w:t>,</w:t>
      </w:r>
      <w:r w:rsidR="001A2494">
        <w:rPr>
          <w:rFonts w:eastAsia="Segoe UI Symbol"/>
          <w:color w:val="0E2841" w:themeColor="text2"/>
          <w:kern w:val="2"/>
          <w:lang w:val="sr-Latn-RS"/>
          <w14:ligatures w14:val="standardContextual"/>
        </w:rPr>
        <w:t>1</w:t>
      </w:r>
      <w:r w:rsidRPr="00FF3BB3">
        <w:rPr>
          <w:rFonts w:eastAsia="Segoe UI Symbol"/>
          <w:color w:val="0E2841" w:themeColor="text2"/>
          <w:kern w:val="2"/>
          <w:lang w:val="sr-Latn-RS"/>
          <w14:ligatures w14:val="standardContextual"/>
        </w:rPr>
        <w:t xml:space="preserve"> miliona evra i </w:t>
      </w:r>
      <w:r w:rsidRPr="00FF3BB3">
        <w:rPr>
          <w:color w:val="0E2841" w:themeColor="text2"/>
          <w:kern w:val="2"/>
          <w:lang w:val="sr-Latn-RS"/>
          <w14:ligatures w14:val="standardContextual"/>
        </w:rPr>
        <w:t>sufinansiraju ga Ministarstvo administracije lokalne samouprave (MA</w:t>
      </w:r>
      <w:r w:rsidR="00FF3BB3">
        <w:rPr>
          <w:color w:val="0E2841" w:themeColor="text2"/>
          <w:kern w:val="2"/>
          <w:lang w:val="sr-Latn-RS"/>
          <w14:ligatures w14:val="standardContextual"/>
        </w:rPr>
        <w:t>LS</w:t>
      </w:r>
      <w:r w:rsidRPr="00FF3BB3">
        <w:rPr>
          <w:color w:val="0E2841" w:themeColor="text2"/>
          <w:kern w:val="2"/>
          <w:lang w:val="sr-Latn-RS"/>
          <w14:ligatures w14:val="standardContextual"/>
        </w:rPr>
        <w:t>), Evropska unija, Švajcarska i Švedska.</w:t>
      </w:r>
    </w:p>
    <w:p w14:paraId="7D0CE43F" w14:textId="4D471C1A" w:rsidR="0006116B" w:rsidRPr="00FF3BB3" w:rsidRDefault="0006116B" w:rsidP="00FF3BB3">
      <w:pPr>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Sve opštine na Kosovu imaju pristup ovom grantu. Međutim, </w:t>
      </w:r>
      <w:r w:rsidR="002E27C5">
        <w:rPr>
          <w:color w:val="0E2841" w:themeColor="text2"/>
          <w:kern w:val="2"/>
          <w:lang w:val="sr-Latn-RS"/>
          <w14:ligatures w14:val="standardContextual"/>
        </w:rPr>
        <w:t>dobitnice</w:t>
      </w:r>
      <w:r w:rsidR="00FF3BB3">
        <w:rPr>
          <w:color w:val="0E2841" w:themeColor="text2"/>
          <w:kern w:val="2"/>
          <w:lang w:val="sr-Latn-RS"/>
          <w14:ligatures w14:val="standardContextual"/>
        </w:rPr>
        <w:t xml:space="preserve"> </w:t>
      </w:r>
      <w:r w:rsidRPr="00FF3BB3">
        <w:rPr>
          <w:color w:val="0E2841" w:themeColor="text2"/>
          <w:kern w:val="2"/>
          <w:lang w:val="sr-Latn-RS"/>
          <w14:ligatures w14:val="standardContextual"/>
        </w:rPr>
        <w:t xml:space="preserve">ovog granta su opštine koje ispunjavaju minimalne uslove. Za sve opštine koje su ispunile minimalne uslove, iznos granta koji svaka opština dobija zasniva se na ostvarenom učinku u pokazateljima učinka u poređenju sa učinkom svih ostalih opština kao i </w:t>
      </w:r>
      <w:r w:rsidR="00FF3BB3">
        <w:rPr>
          <w:color w:val="0E2841" w:themeColor="text2"/>
          <w:kern w:val="2"/>
          <w:lang w:val="sr-Latn-RS"/>
          <w14:ligatures w14:val="standardContextual"/>
        </w:rPr>
        <w:t xml:space="preserve">sa </w:t>
      </w:r>
      <w:r w:rsidRPr="00FF3BB3">
        <w:rPr>
          <w:color w:val="0E2841" w:themeColor="text2"/>
          <w:kern w:val="2"/>
          <w:lang w:val="sr-Latn-RS"/>
          <w14:ligatures w14:val="standardContextual"/>
        </w:rPr>
        <w:t xml:space="preserve">drugim elementima kriterijuma </w:t>
      </w:r>
      <w:r w:rsidR="00FF3BB3">
        <w:rPr>
          <w:color w:val="0E2841" w:themeColor="text2"/>
          <w:kern w:val="2"/>
          <w:lang w:val="sr-Latn-RS"/>
          <w14:ligatures w14:val="standardContextual"/>
        </w:rPr>
        <w:t>procene</w:t>
      </w:r>
      <w:r w:rsidRPr="00FF3BB3">
        <w:rPr>
          <w:color w:val="0E2841" w:themeColor="text2"/>
          <w:kern w:val="2"/>
          <w:lang w:val="sr-Latn-RS"/>
          <w14:ligatures w14:val="standardContextual"/>
        </w:rPr>
        <w:t>. Za učinak 202</w:t>
      </w:r>
      <w:r w:rsidR="001A2494">
        <w:rPr>
          <w:color w:val="0E2841" w:themeColor="text2"/>
          <w:kern w:val="2"/>
          <w:lang w:val="sr-Latn-RS"/>
          <w14:ligatures w14:val="standardContextual"/>
        </w:rPr>
        <w:t>4</w:t>
      </w:r>
      <w:r w:rsidRPr="00FF3BB3">
        <w:rPr>
          <w:color w:val="0E2841" w:themeColor="text2"/>
          <w:kern w:val="2"/>
          <w:lang w:val="sr-Latn-RS"/>
          <w14:ligatures w14:val="standardContextual"/>
        </w:rPr>
        <w:t xml:space="preserve">. godine </w:t>
      </w:r>
      <w:r w:rsidR="00FF3BB3">
        <w:rPr>
          <w:color w:val="0E2841" w:themeColor="text2"/>
          <w:kern w:val="2"/>
          <w:lang w:val="sr-Latn-RS"/>
          <w14:ligatures w14:val="standardContextual"/>
        </w:rPr>
        <w:t>pr</w:t>
      </w:r>
      <w:r w:rsidRPr="00FF3BB3">
        <w:rPr>
          <w:color w:val="0E2841" w:themeColor="text2"/>
          <w:kern w:val="2"/>
          <w:lang w:val="sr-Latn-RS"/>
          <w14:ligatures w14:val="standardContextual"/>
        </w:rPr>
        <w:t>ocenjeno je 2</w:t>
      </w:r>
      <w:r w:rsidR="001A2494">
        <w:rPr>
          <w:color w:val="0E2841" w:themeColor="text2"/>
          <w:kern w:val="2"/>
          <w:lang w:val="sr-Latn-RS"/>
          <w14:ligatures w14:val="standardContextual"/>
        </w:rPr>
        <w:t>9</w:t>
      </w:r>
      <w:r w:rsidRPr="00FF3BB3">
        <w:rPr>
          <w:color w:val="0E2841" w:themeColor="text2"/>
          <w:kern w:val="2"/>
          <w:lang w:val="sr-Latn-RS"/>
          <w14:ligatures w14:val="standardContextual"/>
        </w:rPr>
        <w:t xml:space="preserve"> </w:t>
      </w:r>
      <w:r w:rsidR="00FF3BB3">
        <w:rPr>
          <w:color w:val="0E2841" w:themeColor="text2"/>
          <w:kern w:val="2"/>
          <w:lang w:val="sr-Latn-RS"/>
          <w14:ligatures w14:val="standardContextual"/>
        </w:rPr>
        <w:t>pokazatelja</w:t>
      </w:r>
      <w:r w:rsidRPr="00FF3BB3">
        <w:rPr>
          <w:color w:val="0E2841" w:themeColor="text2"/>
          <w:kern w:val="2"/>
          <w:lang w:val="sr-Latn-RS"/>
          <w14:ligatures w14:val="standardContextual"/>
        </w:rPr>
        <w:t xml:space="preserve">, dok </w:t>
      </w:r>
      <w:r w:rsidR="00FF3BB3">
        <w:rPr>
          <w:color w:val="0E2841" w:themeColor="text2"/>
          <w:kern w:val="2"/>
          <w:lang w:val="sr-Latn-RS"/>
          <w14:ligatures w14:val="standardContextual"/>
        </w:rPr>
        <w:t xml:space="preserve">najviši </w:t>
      </w:r>
      <w:r w:rsidRPr="00FF3BB3">
        <w:rPr>
          <w:color w:val="0E2841" w:themeColor="text2"/>
          <w:kern w:val="2"/>
          <w:lang w:val="sr-Latn-RS"/>
          <w14:ligatures w14:val="standardContextual"/>
        </w:rPr>
        <w:t xml:space="preserve">broj bodova </w:t>
      </w:r>
      <w:r w:rsidR="00FF3BB3" w:rsidRPr="00FF3BB3">
        <w:rPr>
          <w:color w:val="0E2841" w:themeColor="text2"/>
          <w:kern w:val="2"/>
          <w:lang w:val="sr-Latn-RS"/>
          <w14:ligatures w14:val="standardContextual"/>
        </w:rPr>
        <w:t xml:space="preserve">je </w:t>
      </w:r>
      <w:r w:rsidRPr="00FF3BB3">
        <w:rPr>
          <w:color w:val="0E2841" w:themeColor="text2"/>
          <w:kern w:val="2"/>
          <w:lang w:val="sr-Latn-RS"/>
          <w14:ligatures w14:val="standardContextual"/>
        </w:rPr>
        <w:t>9</w:t>
      </w:r>
      <w:r w:rsidR="001A2494">
        <w:rPr>
          <w:color w:val="0E2841" w:themeColor="text2"/>
          <w:kern w:val="2"/>
          <w:lang w:val="sr-Latn-RS"/>
          <w14:ligatures w14:val="standardContextual"/>
        </w:rPr>
        <w:t>8</w:t>
      </w:r>
      <w:r w:rsidRPr="00FF3BB3">
        <w:rPr>
          <w:color w:val="0E2841" w:themeColor="text2"/>
          <w:kern w:val="2"/>
          <w:lang w:val="sr-Latn-RS"/>
          <w14:ligatures w14:val="standardContextual"/>
        </w:rPr>
        <w:t xml:space="preserve"> bodova.</w:t>
      </w:r>
    </w:p>
    <w:p w14:paraId="79795269" w14:textId="5C1A2716" w:rsidR="00FB2AC6" w:rsidRPr="00FB2AC6" w:rsidRDefault="00FB2AC6" w:rsidP="00FB2AC6">
      <w:pPr>
        <w:jc w:val="both"/>
        <w:rPr>
          <w:color w:val="0E2841" w:themeColor="text2"/>
          <w:kern w:val="2"/>
          <w:lang w:val="sr-Latn-RS"/>
          <w14:ligatures w14:val="standardContextual"/>
        </w:rPr>
      </w:pPr>
      <w:r w:rsidRPr="00FB2AC6">
        <w:rPr>
          <w:color w:val="0E2841" w:themeColor="text2"/>
          <w:kern w:val="2"/>
          <w:lang w:val="sr-Latn-RS"/>
          <w14:ligatures w14:val="standardContextual"/>
        </w:rPr>
        <w:t>Opština sa najvišom performansom u 29 pokazatelja performanse za 2024. godinu je opština Glogovac. Ukupan rezultat performanse opštine Glogovac iznosi 75 od mogućih 98 poena (76,5%). Dok je opština sa najnižom performansom opština Novo Brdo sa 2 poena odno</w:t>
      </w:r>
      <w:r>
        <w:rPr>
          <w:color w:val="0E2841" w:themeColor="text2"/>
          <w:kern w:val="2"/>
          <w:lang w:val="sr-Latn-RS"/>
          <w14:ligatures w14:val="standardContextual"/>
        </w:rPr>
        <w:t>sno 2,04%.</w:t>
      </w:r>
    </w:p>
    <w:p w14:paraId="5701AFD8" w14:textId="77777777" w:rsidR="00FB2AC6" w:rsidRDefault="00FB2AC6" w:rsidP="00FB2AC6">
      <w:pPr>
        <w:jc w:val="both"/>
        <w:rPr>
          <w:color w:val="0E2841" w:themeColor="text2"/>
          <w:kern w:val="2"/>
          <w:lang w:val="sr-Latn-RS"/>
          <w14:ligatures w14:val="standardContextual"/>
        </w:rPr>
      </w:pPr>
      <w:r w:rsidRPr="00FB2AC6">
        <w:rPr>
          <w:color w:val="0E2841" w:themeColor="text2"/>
          <w:kern w:val="2"/>
          <w:lang w:val="sr-Latn-RS"/>
          <w14:ligatures w14:val="standardContextual"/>
        </w:rPr>
        <w:t>Pet opština korisnica ostvarile su ukupnu performansu između 11 (11,2%) i 72 poena (73,4%). Od opština korisnica, najvišu performansu imala je opština Rahovec (72 od mogućih 98 poena ili 73,4%), dok je najnižu performansu imala opština Parteš (11 od mogućih 98 poena ili 11,2%).</w:t>
      </w:r>
    </w:p>
    <w:p w14:paraId="6278F18B" w14:textId="3E48DCDD" w:rsidR="0006116B" w:rsidRPr="00FB2AC6" w:rsidRDefault="0006116B" w:rsidP="00FF3BB3">
      <w:pPr>
        <w:jc w:val="both"/>
        <w:rPr>
          <w:color w:val="0E2841" w:themeColor="text2"/>
          <w:kern w:val="2"/>
          <w:lang w:val="sr-Latn-RS"/>
          <w14:ligatures w14:val="standardContextual"/>
        </w:rPr>
      </w:pPr>
      <w:r w:rsidRPr="00FB2AC6">
        <w:rPr>
          <w:color w:val="0E2841" w:themeColor="text2"/>
          <w:kern w:val="2"/>
          <w:lang w:val="sr-Latn-RS"/>
          <w14:ligatures w14:val="standardContextual"/>
        </w:rPr>
        <w:t xml:space="preserve">Najveći iznos granta koji je dobijen za fiskalnu 2025. godinu iznosi </w:t>
      </w:r>
      <w:r w:rsidR="00FB2AC6" w:rsidRPr="00FB2AC6">
        <w:rPr>
          <w:color w:val="0E2841" w:themeColor="text2"/>
          <w:kern w:val="2"/>
          <w:lang w:val="sr-Latn-RS"/>
          <w14:ligatures w14:val="standardContextual"/>
        </w:rPr>
        <w:t>1,195,982.20  evra za Opštinu Orahovac</w:t>
      </w:r>
      <w:r w:rsidRPr="00FB2AC6">
        <w:rPr>
          <w:color w:val="0E2841" w:themeColor="text2"/>
          <w:kern w:val="2"/>
          <w:lang w:val="sr-Latn-RS"/>
          <w14:ligatures w14:val="standardContextual"/>
        </w:rPr>
        <w:t xml:space="preserve">, dok je najniži iznos od </w:t>
      </w:r>
      <w:r w:rsidR="00FB2AC6" w:rsidRPr="00FB2AC6">
        <w:rPr>
          <w:color w:val="0E2841" w:themeColor="text2"/>
          <w:kern w:val="2"/>
          <w:lang w:val="sr-Latn-RS"/>
          <w14:ligatures w14:val="standardContextual"/>
        </w:rPr>
        <w:t xml:space="preserve">25,262.00 </w:t>
      </w:r>
      <w:r w:rsidRPr="00FB2AC6">
        <w:rPr>
          <w:color w:val="0E2841" w:themeColor="text2"/>
          <w:kern w:val="2"/>
          <w:lang w:val="sr-Latn-RS"/>
          <w14:ligatures w14:val="standardContextual"/>
        </w:rPr>
        <w:t xml:space="preserve">evra, </w:t>
      </w:r>
      <w:r w:rsidR="001024AE" w:rsidRPr="00FB2AC6">
        <w:rPr>
          <w:color w:val="0E2841" w:themeColor="text2"/>
          <w:kern w:val="2"/>
          <w:lang w:val="sr-Latn-RS"/>
          <w14:ligatures w14:val="standardContextual"/>
        </w:rPr>
        <w:t>je dobila Opština Parteš</w:t>
      </w:r>
      <w:r w:rsidRPr="00FB2AC6">
        <w:rPr>
          <w:color w:val="0E2841" w:themeColor="text2"/>
          <w:kern w:val="2"/>
          <w:lang w:val="sr-Latn-RS"/>
          <w14:ligatures w14:val="standardContextual"/>
        </w:rPr>
        <w:t>.</w:t>
      </w:r>
    </w:p>
    <w:p w14:paraId="54D74320" w14:textId="4212CF7F" w:rsidR="0006116B" w:rsidRPr="00FF3BB3" w:rsidRDefault="0006116B" w:rsidP="00FF3BB3">
      <w:pPr>
        <w:jc w:val="both"/>
        <w:rPr>
          <w:color w:val="0E2841" w:themeColor="text2"/>
          <w:kern w:val="2"/>
          <w:lang w:val="sr-Latn-RS"/>
          <w14:ligatures w14:val="standardContextual"/>
        </w:rPr>
      </w:pPr>
      <w:r w:rsidRPr="00FB2AC6">
        <w:rPr>
          <w:color w:val="0E2841" w:themeColor="text2"/>
          <w:kern w:val="2"/>
          <w:lang w:val="sr-Latn-RS"/>
          <w14:ligatures w14:val="standardContextual"/>
        </w:rPr>
        <w:t xml:space="preserve">Vrednost granta za </w:t>
      </w:r>
      <w:r w:rsidR="001024AE" w:rsidRPr="00FB2AC6">
        <w:rPr>
          <w:color w:val="0E2841" w:themeColor="text2"/>
          <w:kern w:val="2"/>
          <w:lang w:val="sr-Latn-RS"/>
          <w14:ligatures w14:val="standardContextual"/>
        </w:rPr>
        <w:t xml:space="preserve">opštinski </w:t>
      </w:r>
      <w:r w:rsidRPr="00FB2AC6">
        <w:rPr>
          <w:color w:val="0E2841" w:themeColor="text2"/>
          <w:kern w:val="2"/>
          <w:lang w:val="sr-Latn-RS"/>
          <w14:ligatures w14:val="standardContextual"/>
        </w:rPr>
        <w:t xml:space="preserve">učinak je između </w:t>
      </w:r>
      <w:r w:rsidR="00FB2AC6" w:rsidRPr="00FB2AC6">
        <w:rPr>
          <w:color w:val="0E2841" w:themeColor="text2"/>
          <w:kern w:val="2"/>
          <w:lang w:val="sr-Latn-RS"/>
          <w14:ligatures w14:val="standardContextual"/>
        </w:rPr>
        <w:t xml:space="preserve">0.9%-42.7% </w:t>
      </w:r>
      <w:r w:rsidRPr="00FB2AC6">
        <w:rPr>
          <w:color w:val="0E2841" w:themeColor="text2"/>
          <w:kern w:val="2"/>
          <w:lang w:val="sr-Latn-RS"/>
          <w14:ligatures w14:val="standardContextual"/>
        </w:rPr>
        <w:t xml:space="preserve">opšteg granta </w:t>
      </w:r>
      <w:r w:rsidR="001024AE" w:rsidRPr="00FB2AC6">
        <w:rPr>
          <w:color w:val="0E2841" w:themeColor="text2"/>
          <w:kern w:val="2"/>
          <w:lang w:val="sr-Latn-RS"/>
          <w14:ligatures w14:val="standardContextual"/>
        </w:rPr>
        <w:t xml:space="preserve">za </w:t>
      </w:r>
      <w:r w:rsidRPr="00FB2AC6">
        <w:rPr>
          <w:color w:val="0E2841" w:themeColor="text2"/>
          <w:kern w:val="2"/>
          <w:lang w:val="sr-Latn-RS"/>
          <w14:ligatures w14:val="standardContextual"/>
        </w:rPr>
        <w:t>opštin</w:t>
      </w:r>
      <w:r w:rsidR="001024AE" w:rsidRPr="00FB2AC6">
        <w:rPr>
          <w:color w:val="0E2841" w:themeColor="text2"/>
          <w:kern w:val="2"/>
          <w:lang w:val="sr-Latn-RS"/>
          <w14:ligatures w14:val="standardContextual"/>
        </w:rPr>
        <w:t>e</w:t>
      </w:r>
      <w:r w:rsidRPr="00FB2AC6">
        <w:rPr>
          <w:color w:val="0E2841" w:themeColor="text2"/>
          <w:kern w:val="2"/>
          <w:lang w:val="sr-Latn-RS"/>
          <w14:ligatures w14:val="standardContextual"/>
        </w:rPr>
        <w:t xml:space="preserve"> </w:t>
      </w:r>
      <w:r w:rsidR="001024AE" w:rsidRPr="00FB2AC6">
        <w:rPr>
          <w:color w:val="0E2841" w:themeColor="text2"/>
          <w:kern w:val="2"/>
          <w:lang w:val="sr-Latn-RS"/>
          <w14:ligatures w14:val="standardContextual"/>
        </w:rPr>
        <w:t>dobitnice</w:t>
      </w:r>
      <w:r w:rsidRPr="00FB2AC6">
        <w:rPr>
          <w:color w:val="0E2841" w:themeColor="text2"/>
          <w:kern w:val="2"/>
          <w:lang w:val="sr-Latn-RS"/>
          <w14:ligatures w14:val="standardContextual"/>
        </w:rPr>
        <w:t>.</w:t>
      </w:r>
    </w:p>
    <w:p w14:paraId="61371676" w14:textId="77777777" w:rsidR="0006116B" w:rsidRPr="00FF3BB3" w:rsidRDefault="0006116B" w:rsidP="00FF3BB3">
      <w:pPr>
        <w:jc w:val="both"/>
        <w:rPr>
          <w:kern w:val="2"/>
          <w:lang w:val="sr-Latn-RS"/>
          <w14:ligatures w14:val="standardContextual"/>
        </w:rPr>
      </w:pPr>
    </w:p>
    <w:p w14:paraId="1965A607" w14:textId="58836595" w:rsidR="0006116B" w:rsidRDefault="0006116B" w:rsidP="00FF3BB3">
      <w:pPr>
        <w:rPr>
          <w:lang w:val="sr-Latn-RS"/>
        </w:rPr>
      </w:pPr>
    </w:p>
    <w:p w14:paraId="43DCEDCE" w14:textId="0DC8F752" w:rsidR="00C94B9B" w:rsidRDefault="00C94B9B" w:rsidP="00FF3BB3">
      <w:pPr>
        <w:rPr>
          <w:lang w:val="sr-Latn-RS"/>
        </w:rPr>
      </w:pPr>
    </w:p>
    <w:p w14:paraId="71C4C84C" w14:textId="7F5DC26D" w:rsidR="00C94B9B" w:rsidRDefault="00C94B9B" w:rsidP="00FF3BB3">
      <w:pPr>
        <w:rPr>
          <w:lang w:val="sr-Latn-RS"/>
        </w:rPr>
      </w:pPr>
    </w:p>
    <w:p w14:paraId="5866DAF3" w14:textId="77777777" w:rsidR="00FB2AC6" w:rsidRDefault="00FB2AC6" w:rsidP="00FF3BB3">
      <w:pPr>
        <w:rPr>
          <w:lang w:val="sr-Latn-RS"/>
        </w:rPr>
      </w:pPr>
    </w:p>
    <w:p w14:paraId="7CEA81E1" w14:textId="77777777" w:rsidR="00FB2AC6" w:rsidRDefault="00FB2AC6" w:rsidP="00FF3BB3">
      <w:pPr>
        <w:rPr>
          <w:lang w:val="sr-Latn-RS"/>
        </w:rPr>
      </w:pPr>
    </w:p>
    <w:p w14:paraId="4B8585BB" w14:textId="77777777" w:rsidR="00FB2AC6" w:rsidRDefault="00FB2AC6" w:rsidP="00FF3BB3">
      <w:pPr>
        <w:rPr>
          <w:lang w:val="sr-Latn-RS"/>
        </w:rPr>
      </w:pPr>
    </w:p>
    <w:p w14:paraId="4AF8DA4A" w14:textId="479B0240" w:rsidR="00C94B9B" w:rsidRDefault="00C94B9B" w:rsidP="00FF3BB3">
      <w:pPr>
        <w:rPr>
          <w:lang w:val="sr-Latn-RS"/>
        </w:rPr>
      </w:pPr>
    </w:p>
    <w:p w14:paraId="20B23C7A" w14:textId="77777777" w:rsidR="00C94B9B" w:rsidRPr="00FF3BB3" w:rsidRDefault="00C94B9B" w:rsidP="00FF3BB3">
      <w:pPr>
        <w:rPr>
          <w:lang w:val="sr-Latn-RS"/>
        </w:rPr>
      </w:pPr>
    </w:p>
    <w:p w14:paraId="6B9F295D" w14:textId="7F2A489E" w:rsidR="0006116B" w:rsidRPr="00FF3BB3" w:rsidRDefault="0006116B" w:rsidP="00FF3BB3">
      <w:pPr>
        <w:keepNext/>
        <w:numPr>
          <w:ilvl w:val="0"/>
          <w:numId w:val="1"/>
        </w:numPr>
        <w:shd w:val="clear" w:color="auto" w:fill="215E99" w:themeFill="text2" w:themeFillTint="BF"/>
        <w:tabs>
          <w:tab w:val="left" w:pos="540"/>
        </w:tabs>
        <w:spacing w:after="0" w:line="240" w:lineRule="auto"/>
        <w:ind w:left="902" w:hanging="902"/>
        <w:outlineLvl w:val="0"/>
        <w:rPr>
          <w:rFonts w:asciiTheme="majorHAnsi" w:eastAsiaTheme="majorEastAsia" w:hAnsiTheme="majorHAnsi" w:cstheme="majorHAnsi"/>
          <w:b/>
          <w:color w:val="FFFFFF" w:themeColor="background1"/>
          <w:sz w:val="28"/>
          <w:szCs w:val="28"/>
          <w:lang w:val="sr-Latn-RS"/>
        </w:rPr>
      </w:pPr>
      <w:bookmarkStart w:id="3" w:name="_Toc224550089"/>
      <w:bookmarkStart w:id="4" w:name="_Toc115186021"/>
      <w:r w:rsidRPr="00FF3BB3">
        <w:rPr>
          <w:rFonts w:asciiTheme="majorHAnsi" w:eastAsiaTheme="majorEastAsia" w:hAnsiTheme="majorHAnsi" w:cstheme="majorHAnsi"/>
          <w:b/>
          <w:color w:val="FFFFFF" w:themeColor="background1"/>
          <w:sz w:val="28"/>
          <w:szCs w:val="28"/>
          <w:lang w:val="sr-Latn-RS"/>
        </w:rPr>
        <w:lastRenderedPageBreak/>
        <w:t xml:space="preserve">Uvod- </w:t>
      </w:r>
      <w:r w:rsidR="00C94B9B">
        <w:rPr>
          <w:rFonts w:asciiTheme="majorHAnsi" w:eastAsiaTheme="majorEastAsia" w:hAnsiTheme="majorHAnsi" w:cstheme="majorHAnsi"/>
          <w:b/>
          <w:color w:val="FFFFFF" w:themeColor="background1"/>
          <w:sz w:val="28"/>
          <w:szCs w:val="28"/>
          <w:lang w:val="sr-Latn-RS"/>
        </w:rPr>
        <w:t>Procena</w:t>
      </w:r>
      <w:r w:rsidRPr="00FF3BB3">
        <w:rPr>
          <w:rFonts w:asciiTheme="majorHAnsi" w:eastAsiaTheme="majorEastAsia" w:hAnsiTheme="majorHAnsi" w:cstheme="majorHAnsi"/>
          <w:b/>
          <w:color w:val="FFFFFF" w:themeColor="background1"/>
          <w:sz w:val="28"/>
          <w:szCs w:val="28"/>
          <w:lang w:val="sr-Latn-RS"/>
        </w:rPr>
        <w:t xml:space="preserve"> učinka opština za grant za 202</w:t>
      </w:r>
      <w:r w:rsidR="001A2494">
        <w:rPr>
          <w:rFonts w:asciiTheme="majorHAnsi" w:eastAsiaTheme="majorEastAsia" w:hAnsiTheme="majorHAnsi" w:cstheme="majorHAnsi"/>
          <w:b/>
          <w:color w:val="FFFFFF" w:themeColor="background1"/>
          <w:sz w:val="28"/>
          <w:szCs w:val="28"/>
          <w:lang w:val="sr-Latn-RS"/>
        </w:rPr>
        <w:t>6</w:t>
      </w:r>
      <w:r w:rsidRPr="00FF3BB3">
        <w:rPr>
          <w:rFonts w:asciiTheme="majorHAnsi" w:eastAsiaTheme="majorEastAsia" w:hAnsiTheme="majorHAnsi" w:cstheme="majorHAnsi"/>
          <w:b/>
          <w:color w:val="FFFFFF" w:themeColor="background1"/>
          <w:sz w:val="28"/>
          <w:szCs w:val="28"/>
          <w:lang w:val="sr-Latn-RS"/>
        </w:rPr>
        <w:t>. godinu</w:t>
      </w:r>
      <w:bookmarkEnd w:id="3"/>
      <w:r w:rsidRPr="00FF3BB3">
        <w:rPr>
          <w:rFonts w:asciiTheme="majorHAnsi" w:eastAsiaTheme="majorEastAsia" w:hAnsiTheme="majorHAnsi" w:cstheme="majorHAnsi"/>
          <w:b/>
          <w:color w:val="FFFFFF" w:themeColor="background1"/>
          <w:sz w:val="28"/>
          <w:szCs w:val="28"/>
          <w:lang w:val="sr-Latn-RS"/>
        </w:rPr>
        <w:t xml:space="preserve"> </w:t>
      </w:r>
    </w:p>
    <w:p w14:paraId="5402D849"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0E2841" w:themeColor="text2"/>
          <w:kern w:val="2"/>
          <w:lang w:val="sr-Latn-RS"/>
          <w14:ligatures w14:val="standardContextual"/>
        </w:rPr>
      </w:pPr>
      <w:bookmarkStart w:id="5" w:name="_Hlk174604926"/>
      <w:bookmarkEnd w:id="4"/>
    </w:p>
    <w:p w14:paraId="0C3039F8" w14:textId="575D1E3F" w:rsidR="0006116B" w:rsidRPr="00FF3BB3" w:rsidRDefault="00C94B9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Ministarstvo administracije lokalne samouprave (MA</w:t>
      </w:r>
      <w:r>
        <w:rPr>
          <w:color w:val="0E2841" w:themeColor="text2"/>
          <w:kern w:val="2"/>
          <w:lang w:val="sr-Latn-RS"/>
          <w14:ligatures w14:val="standardContextual"/>
        </w:rPr>
        <w:t xml:space="preserve">LS) u partnerstvu sa Švajcarskom kancelarijom za </w:t>
      </w:r>
      <w:r w:rsidR="00EA5352">
        <w:rPr>
          <w:color w:val="0E2841" w:themeColor="text2"/>
          <w:kern w:val="2"/>
          <w:lang w:val="sr-Latn-RS"/>
          <w14:ligatures w14:val="standardContextual"/>
        </w:rPr>
        <w:t xml:space="preserve">razvoj i saradnju </w:t>
      </w:r>
      <w:r>
        <w:rPr>
          <w:color w:val="0E2841" w:themeColor="text2"/>
          <w:kern w:val="2"/>
          <w:lang w:val="sr-Latn-RS"/>
          <w14:ligatures w14:val="standardContextual"/>
        </w:rPr>
        <w:t xml:space="preserve">(SDC) </w:t>
      </w:r>
      <w:r w:rsidR="00EA5352">
        <w:rPr>
          <w:color w:val="0E2841" w:themeColor="text2"/>
          <w:kern w:val="2"/>
          <w:lang w:val="sr-Latn-RS"/>
          <w14:ligatures w14:val="standardContextual"/>
        </w:rPr>
        <w:t>su</w:t>
      </w:r>
      <w:r w:rsidR="0006116B" w:rsidRPr="00FF3BB3">
        <w:rPr>
          <w:color w:val="0E2841" w:themeColor="text2"/>
          <w:kern w:val="2"/>
          <w:lang w:val="sr-Latn-RS"/>
          <w14:ligatures w14:val="standardContextual"/>
        </w:rPr>
        <w:t xml:space="preserve"> 2017. godine razvil</w:t>
      </w:r>
      <w:r w:rsidR="00EA5352">
        <w:rPr>
          <w:color w:val="0E2841" w:themeColor="text2"/>
          <w:kern w:val="2"/>
          <w:lang w:val="sr-Latn-RS"/>
          <w14:ligatures w14:val="standardContextual"/>
        </w:rPr>
        <w:t>i</w:t>
      </w:r>
      <w:r w:rsidR="0006116B" w:rsidRPr="00FF3BB3">
        <w:rPr>
          <w:color w:val="0E2841" w:themeColor="text2"/>
          <w:kern w:val="2"/>
          <w:lang w:val="sr-Latn-RS"/>
          <w14:ligatures w14:val="standardContextual"/>
        </w:rPr>
        <w:t xml:space="preserve"> i s</w:t>
      </w:r>
      <w:r w:rsidR="00EA5352">
        <w:rPr>
          <w:color w:val="0E2841" w:themeColor="text2"/>
          <w:kern w:val="2"/>
          <w:lang w:val="sr-Latn-RS"/>
          <w14:ligatures w14:val="standardContextual"/>
        </w:rPr>
        <w:t>ložili</w:t>
      </w:r>
      <w:r w:rsidR="0006116B" w:rsidRPr="00FF3BB3">
        <w:rPr>
          <w:color w:val="0E2841" w:themeColor="text2"/>
          <w:kern w:val="2"/>
          <w:lang w:val="sr-Latn-RS"/>
          <w14:ligatures w14:val="standardContextual"/>
        </w:rPr>
        <w:t xml:space="preserve"> se da sufinansira</w:t>
      </w:r>
      <w:r w:rsidR="00EA5352">
        <w:rPr>
          <w:color w:val="0E2841" w:themeColor="text2"/>
          <w:kern w:val="2"/>
          <w:lang w:val="sr-Latn-RS"/>
          <w14:ligatures w14:val="standardContextual"/>
        </w:rPr>
        <w:t>ju</w:t>
      </w:r>
      <w:r w:rsidR="0006116B" w:rsidRPr="00FF3BB3">
        <w:rPr>
          <w:color w:val="0E2841" w:themeColor="text2"/>
          <w:kern w:val="2"/>
          <w:lang w:val="sr-Latn-RS"/>
          <w14:ligatures w14:val="standardContextual"/>
        </w:rPr>
        <w:t xml:space="preserve"> šemu </w:t>
      </w:r>
      <w:r w:rsidR="00CA2E28">
        <w:rPr>
          <w:color w:val="0E2841" w:themeColor="text2"/>
          <w:kern w:val="2"/>
          <w:lang w:val="sr-Latn-RS"/>
          <w14:ligatures w14:val="standardContextual"/>
        </w:rPr>
        <w:t>za dodelu</w:t>
      </w:r>
      <w:r w:rsidR="0006116B" w:rsidRPr="00FF3BB3">
        <w:rPr>
          <w:color w:val="0E2841" w:themeColor="text2"/>
          <w:kern w:val="2"/>
          <w:lang w:val="sr-Latn-RS"/>
          <w14:ligatures w14:val="standardContextual"/>
        </w:rPr>
        <w:t xml:space="preserve"> grantova za opštinsk</w:t>
      </w:r>
      <w:r>
        <w:rPr>
          <w:color w:val="0E2841" w:themeColor="text2"/>
          <w:kern w:val="2"/>
          <w:lang w:val="sr-Latn-RS"/>
          <w14:ligatures w14:val="standardContextual"/>
        </w:rPr>
        <w:t xml:space="preserve">i učinak </w:t>
      </w:r>
      <w:r w:rsidR="0006116B" w:rsidRPr="00FF3BB3">
        <w:rPr>
          <w:color w:val="0E2841" w:themeColor="text2"/>
          <w:kern w:val="2"/>
          <w:lang w:val="sr-Latn-RS"/>
          <w14:ligatures w14:val="standardContextual"/>
        </w:rPr>
        <w:t>(u daljem tekstu G</w:t>
      </w:r>
      <w:r w:rsidR="00CA2E28">
        <w:rPr>
          <w:color w:val="0E2841" w:themeColor="text2"/>
          <w:kern w:val="2"/>
          <w:lang w:val="sr-Latn-RS"/>
          <w14:ligatures w14:val="standardContextual"/>
        </w:rPr>
        <w:t>OU</w:t>
      </w:r>
      <w:r w:rsidR="0006116B" w:rsidRPr="00FF3BB3">
        <w:rPr>
          <w:color w:val="0E2841" w:themeColor="text2"/>
          <w:kern w:val="2"/>
          <w:lang w:val="sr-Latn-RS"/>
          <w14:ligatures w14:val="standardContextual"/>
        </w:rPr>
        <w:t xml:space="preserve">). </w:t>
      </w:r>
      <w:r w:rsidR="00EA5352">
        <w:rPr>
          <w:color w:val="0E2841" w:themeColor="text2"/>
          <w:kern w:val="2"/>
          <w:lang w:val="sr-Latn-RS"/>
          <w14:ligatures w14:val="standardContextual"/>
        </w:rPr>
        <w:t xml:space="preserve">Tokom </w:t>
      </w:r>
      <w:r w:rsidR="00CA2E28">
        <w:rPr>
          <w:color w:val="0E2841" w:themeColor="text2"/>
          <w:kern w:val="2"/>
          <w:lang w:val="sr-Latn-RS"/>
          <w14:ligatures w14:val="standardContextual"/>
        </w:rPr>
        <w:t>2019</w:t>
      </w:r>
      <w:r w:rsidR="00EA5352">
        <w:rPr>
          <w:color w:val="0E2841" w:themeColor="text2"/>
          <w:kern w:val="2"/>
          <w:lang w:val="sr-Latn-RS"/>
          <w14:ligatures w14:val="standardContextual"/>
        </w:rPr>
        <w:t>. godine</w:t>
      </w:r>
      <w:r w:rsidR="0006116B" w:rsidRPr="00FF3BB3">
        <w:rPr>
          <w:color w:val="0E2841" w:themeColor="text2"/>
          <w:kern w:val="2"/>
          <w:lang w:val="sr-Latn-RS"/>
          <w14:ligatures w14:val="standardContextual"/>
        </w:rPr>
        <w:t xml:space="preserve"> Švedska i Norveška, a 2022. </w:t>
      </w:r>
      <w:r w:rsidR="00CA2E28">
        <w:rPr>
          <w:color w:val="0E2841" w:themeColor="text2"/>
          <w:kern w:val="2"/>
          <w:lang w:val="sr-Latn-RS"/>
          <w14:ligatures w14:val="standardContextual"/>
        </w:rPr>
        <w:t xml:space="preserve">godine i </w:t>
      </w:r>
      <w:r w:rsidR="0006116B" w:rsidRPr="00FF3BB3">
        <w:rPr>
          <w:color w:val="0E2841" w:themeColor="text2"/>
          <w:kern w:val="2"/>
          <w:lang w:val="sr-Latn-RS"/>
          <w14:ligatures w14:val="standardContextual"/>
        </w:rPr>
        <w:t xml:space="preserve">EU preko Švedske odlučile su da se pridruže šemi finansiranja </w:t>
      </w:r>
      <w:r w:rsidR="00CA2E28">
        <w:rPr>
          <w:color w:val="0E2841" w:themeColor="text2"/>
          <w:kern w:val="2"/>
          <w:lang w:val="sr-Latn-RS"/>
          <w14:ligatures w14:val="standardContextual"/>
        </w:rPr>
        <w:t>GOU</w:t>
      </w:r>
      <w:r w:rsidR="00C95A7B">
        <w:rPr>
          <w:color w:val="0E2841" w:themeColor="text2"/>
          <w:kern w:val="2"/>
          <w:lang w:val="sr-Latn-RS"/>
          <w14:ligatures w14:val="standardContextual"/>
        </w:rPr>
        <w:t>-a</w:t>
      </w:r>
      <w:r w:rsidR="0006116B" w:rsidRPr="00FF3BB3">
        <w:rPr>
          <w:color w:val="0E2841" w:themeColor="text2"/>
          <w:kern w:val="2"/>
          <w:lang w:val="sr-Latn-RS"/>
          <w14:ligatures w14:val="standardContextual"/>
        </w:rPr>
        <w:t>.</w:t>
      </w:r>
    </w:p>
    <w:p w14:paraId="312CA394"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p>
    <w:bookmarkEnd w:id="5"/>
    <w:p w14:paraId="188C3F5B" w14:textId="23A5734B" w:rsidR="0006116B" w:rsidRPr="00FF3BB3" w:rsidRDefault="0006116B" w:rsidP="00FF3BB3">
      <w:pPr>
        <w:spacing w:after="0" w:line="300" w:lineRule="atLeast"/>
        <w:jc w:val="both"/>
        <w:rPr>
          <w:color w:val="0E2841" w:themeColor="text2"/>
          <w:kern w:val="2"/>
          <w:lang w:val="sr-Latn-RS"/>
          <w14:ligatures w14:val="standardContextual"/>
        </w:rPr>
      </w:pPr>
      <w:r w:rsidRPr="00FF3BB3">
        <w:rPr>
          <w:color w:val="0E2841" w:themeColor="text2"/>
          <w:kern w:val="2"/>
          <w:lang w:val="sr-Latn-RS"/>
          <w14:ligatures w14:val="standardContextual"/>
        </w:rPr>
        <w:t>Grant za opštinski učinak za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xml:space="preserve">. </w:t>
      </w:r>
      <w:r w:rsidR="00CA2E28">
        <w:rPr>
          <w:color w:val="0E2841" w:themeColor="text2"/>
          <w:kern w:val="2"/>
          <w:lang w:val="sr-Latn-RS"/>
          <w14:ligatures w14:val="standardContextual"/>
        </w:rPr>
        <w:t xml:space="preserve">godinu </w:t>
      </w:r>
      <w:r w:rsidRPr="00FF3BB3">
        <w:rPr>
          <w:color w:val="0E2841" w:themeColor="text2"/>
          <w:kern w:val="2"/>
          <w:lang w:val="sr-Latn-RS"/>
          <w14:ligatures w14:val="standardContextual"/>
        </w:rPr>
        <w:t>sufinansiraju MAL</w:t>
      </w:r>
      <w:r w:rsidR="00CA2E28">
        <w:rPr>
          <w:color w:val="0E2841" w:themeColor="text2"/>
          <w:kern w:val="2"/>
          <w:lang w:val="sr-Latn-RS"/>
          <w14:ligatures w14:val="standardContextual"/>
        </w:rPr>
        <w:t>S</w:t>
      </w:r>
      <w:r w:rsidRPr="00FF3BB3">
        <w:rPr>
          <w:color w:val="0E2841" w:themeColor="text2"/>
          <w:kern w:val="2"/>
          <w:lang w:val="sr-Latn-RS"/>
          <w14:ligatures w14:val="standardContextual"/>
        </w:rPr>
        <w:t xml:space="preserve">, EU, Švedska, Švajcarska. Ukupan iznos na raspolaganju </w:t>
      </w:r>
      <w:r w:rsidRPr="00FB2AC6">
        <w:rPr>
          <w:color w:val="0E2841" w:themeColor="text2"/>
          <w:kern w:val="2"/>
          <w:lang w:val="sr-Latn-RS"/>
          <w14:ligatures w14:val="standardContextual"/>
        </w:rPr>
        <w:t xml:space="preserve">je </w:t>
      </w:r>
      <w:r w:rsidR="00FB2AC6" w:rsidRPr="00FB2AC6">
        <w:rPr>
          <w:color w:val="0E2841" w:themeColor="text2"/>
          <w:kern w:val="2"/>
          <w:lang w:val="sr-Latn-RS"/>
          <w14:ligatures w14:val="standardContextual"/>
        </w:rPr>
        <w:t>3</w:t>
      </w:r>
      <w:r w:rsidRPr="00FB2AC6">
        <w:rPr>
          <w:color w:val="0E2841" w:themeColor="text2"/>
          <w:kern w:val="2"/>
          <w:lang w:val="sr-Latn-RS"/>
          <w14:ligatures w14:val="standardContextual"/>
        </w:rPr>
        <w:t>.</w:t>
      </w:r>
      <w:r w:rsidR="001A2494" w:rsidRPr="00FB2AC6">
        <w:rPr>
          <w:color w:val="0E2841" w:themeColor="text2"/>
          <w:kern w:val="2"/>
          <w:lang w:val="sr-Latn-RS"/>
          <w14:ligatures w14:val="standardContextual"/>
        </w:rPr>
        <w:t>110</w:t>
      </w:r>
      <w:r w:rsidRPr="00FB2AC6">
        <w:rPr>
          <w:color w:val="0E2841" w:themeColor="text2"/>
          <w:kern w:val="2"/>
          <w:lang w:val="sr-Latn-RS"/>
          <w14:ligatures w14:val="standardContextual"/>
        </w:rPr>
        <w:t xml:space="preserve">.000 evra. </w:t>
      </w:r>
      <w:r w:rsidRPr="00FB2AC6">
        <w:rPr>
          <w:color w:val="0E2841" w:themeColor="text2"/>
          <w:kern w:val="2"/>
          <w:highlight w:val="yellow"/>
          <w:lang w:val="sr-Latn-RS"/>
          <w14:ligatures w14:val="standardContextual"/>
        </w:rPr>
        <w:t xml:space="preserve">U cilju praćenja uticaja projekata na građane, uspostavljena je </w:t>
      </w:r>
      <w:r w:rsidR="00CA2E28" w:rsidRPr="00FB2AC6">
        <w:rPr>
          <w:rFonts w:eastAsia="Times New Roman" w:cs="Times New Roman"/>
          <w:highlight w:val="yellow"/>
          <w:lang w:val="sr-Latn-RS"/>
        </w:rPr>
        <w:t xml:space="preserve">društvena </w:t>
      </w:r>
      <w:r w:rsidRPr="00FB2AC6">
        <w:rPr>
          <w:color w:val="0E2841" w:themeColor="text2"/>
          <w:kern w:val="2"/>
          <w:highlight w:val="yellow"/>
          <w:lang w:val="sr-Latn-RS"/>
          <w14:ligatures w14:val="standardContextual"/>
        </w:rPr>
        <w:t xml:space="preserve">revizija u okviru </w:t>
      </w:r>
      <w:r w:rsidR="00CA2E28" w:rsidRPr="00FB2AC6">
        <w:rPr>
          <w:color w:val="0E2841" w:themeColor="text2"/>
          <w:kern w:val="2"/>
          <w:highlight w:val="yellow"/>
          <w:lang w:val="sr-Latn-RS"/>
          <w14:ligatures w14:val="standardContextual"/>
        </w:rPr>
        <w:t>GOU-a</w:t>
      </w:r>
      <w:r w:rsidRPr="00FB2AC6">
        <w:rPr>
          <w:color w:val="0E2841" w:themeColor="text2"/>
          <w:kern w:val="2"/>
          <w:highlight w:val="yellow"/>
          <w:lang w:val="sr-Latn-RS"/>
          <w14:ligatures w14:val="standardContextual"/>
        </w:rPr>
        <w:t xml:space="preserve">. Iznos za </w:t>
      </w:r>
      <w:r w:rsidR="00CA2E28" w:rsidRPr="00FB2AC6">
        <w:rPr>
          <w:color w:val="0E2841" w:themeColor="text2"/>
          <w:kern w:val="2"/>
          <w:highlight w:val="yellow"/>
          <w:lang w:val="sr-Latn-RS"/>
          <w14:ligatures w14:val="standardContextual"/>
        </w:rPr>
        <w:t xml:space="preserve">društvenu </w:t>
      </w:r>
      <w:r w:rsidRPr="00FB2AC6">
        <w:rPr>
          <w:color w:val="0E2841" w:themeColor="text2"/>
          <w:kern w:val="2"/>
          <w:highlight w:val="yellow"/>
          <w:lang w:val="sr-Latn-RS"/>
          <w14:ligatures w14:val="standardContextual"/>
        </w:rPr>
        <w:t xml:space="preserve">reviziju za 2025. godinu odbijen je od ukupnog iznosa </w:t>
      </w:r>
      <w:r w:rsidR="00CA2E28" w:rsidRPr="00FB2AC6">
        <w:rPr>
          <w:color w:val="0E2841" w:themeColor="text2"/>
          <w:kern w:val="2"/>
          <w:highlight w:val="yellow"/>
          <w:lang w:val="sr-Latn-RS"/>
          <w14:ligatures w14:val="standardContextual"/>
        </w:rPr>
        <w:t>GOU-a</w:t>
      </w:r>
      <w:r w:rsidRPr="00FB2AC6">
        <w:rPr>
          <w:color w:val="0E2841" w:themeColor="text2"/>
          <w:kern w:val="2"/>
          <w:highlight w:val="yellow"/>
          <w:lang w:val="sr-Latn-RS"/>
          <w14:ligatures w14:val="standardContextual"/>
        </w:rPr>
        <w:t>, tako da iznos koji će koristiti opštin</w:t>
      </w:r>
      <w:r w:rsidR="00CA2E28" w:rsidRPr="00FB2AC6">
        <w:rPr>
          <w:color w:val="0E2841" w:themeColor="text2"/>
          <w:kern w:val="2"/>
          <w:highlight w:val="yellow"/>
          <w:lang w:val="sr-Latn-RS"/>
          <w14:ligatures w14:val="standardContextual"/>
        </w:rPr>
        <w:t xml:space="preserve">e je </w:t>
      </w:r>
      <w:r w:rsidRPr="00FB2AC6">
        <w:rPr>
          <w:color w:val="0E2841" w:themeColor="text2"/>
          <w:kern w:val="2"/>
          <w:highlight w:val="yellow"/>
          <w:lang w:val="sr-Latn-RS"/>
          <w14:ligatures w14:val="standardContextual"/>
        </w:rPr>
        <w:t>7.771.500 evra.</w:t>
      </w:r>
    </w:p>
    <w:p w14:paraId="576750B0" w14:textId="77777777" w:rsidR="0006116B" w:rsidRPr="00FF3BB3" w:rsidRDefault="0006116B" w:rsidP="00FF3BB3">
      <w:pPr>
        <w:tabs>
          <w:tab w:val="left" w:pos="5376"/>
        </w:tabs>
        <w:spacing w:after="0" w:line="300" w:lineRule="atLeast"/>
        <w:jc w:val="both"/>
        <w:rPr>
          <w:color w:val="0E2841" w:themeColor="text2"/>
          <w:kern w:val="2"/>
          <w:lang w:val="sr-Latn-RS"/>
          <w14:ligatures w14:val="standardContextual"/>
        </w:rPr>
      </w:pPr>
      <w:r w:rsidRPr="00FF3BB3">
        <w:rPr>
          <w:color w:val="0E2841" w:themeColor="text2"/>
          <w:kern w:val="2"/>
          <w:lang w:val="sr-Latn-RS"/>
          <w14:ligatures w14:val="standardContextual"/>
        </w:rPr>
        <w:tab/>
      </w:r>
    </w:p>
    <w:p w14:paraId="318F467B" w14:textId="2DAB8D4A" w:rsidR="0006116B" w:rsidRPr="00FF3BB3" w:rsidRDefault="0006116B" w:rsidP="00FF3BB3">
      <w:pPr>
        <w:spacing w:after="0" w:line="300" w:lineRule="atLeast"/>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Tabela ispod </w:t>
      </w:r>
      <w:r w:rsidRPr="00FF3BB3">
        <w:rPr>
          <w:rFonts w:cs="Arial"/>
          <w:color w:val="0E2841" w:themeColor="text2"/>
          <w:kern w:val="2"/>
          <w:lang w:val="sr-Latn-RS"/>
          <w14:ligatures w14:val="standardContextual"/>
        </w:rPr>
        <w:t xml:space="preserve">daje </w:t>
      </w:r>
      <w:r w:rsidRPr="00FF3BB3">
        <w:rPr>
          <w:color w:val="0E2841" w:themeColor="text2"/>
          <w:kern w:val="2"/>
          <w:lang w:val="sr-Latn-RS"/>
          <w14:ligatures w14:val="standardContextual"/>
        </w:rPr>
        <w:t xml:space="preserve">detalje u vezi sa izvorima finansiranja i iznosom </w:t>
      </w:r>
      <w:r w:rsidR="00CA2E28">
        <w:rPr>
          <w:color w:val="0E2841" w:themeColor="text2"/>
          <w:kern w:val="2"/>
          <w:lang w:val="sr-Latn-RS"/>
          <w14:ligatures w14:val="standardContextual"/>
        </w:rPr>
        <w:t>GOU-a</w:t>
      </w:r>
      <w:r w:rsidRPr="00FF3BB3">
        <w:rPr>
          <w:color w:val="0E2841" w:themeColor="text2"/>
          <w:kern w:val="2"/>
          <w:lang w:val="sr-Latn-RS"/>
          <w14:ligatures w14:val="standardContextual"/>
        </w:rPr>
        <w:t xml:space="preserve"> koji će biti dodeljen opštinama u fiskalnoj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godini.</w:t>
      </w:r>
    </w:p>
    <w:p w14:paraId="608FAEA7" w14:textId="77777777" w:rsidR="0006116B" w:rsidRPr="00FF3BB3" w:rsidRDefault="0006116B" w:rsidP="00FF3BB3">
      <w:pPr>
        <w:spacing w:after="0" w:line="300" w:lineRule="atLeast"/>
        <w:jc w:val="both"/>
        <w:rPr>
          <w:kern w:val="2"/>
          <w:sz w:val="21"/>
          <w:szCs w:val="21"/>
          <w:lang w:val="sr-Latn-RS"/>
          <w14:ligatures w14:val="standardContextual"/>
        </w:rPr>
      </w:pPr>
    </w:p>
    <w:p w14:paraId="032C31EF" w14:textId="33DE4B8E" w:rsidR="0006116B" w:rsidRPr="00FF3BB3" w:rsidRDefault="0006116B" w:rsidP="00FF3BB3">
      <w:pPr>
        <w:pStyle w:val="Caption"/>
        <w:rPr>
          <w:lang w:val="sr-Latn-RS"/>
        </w:rPr>
      </w:pPr>
      <w:r w:rsidRPr="00FF3BB3">
        <w:rPr>
          <w:lang w:val="sr-Latn-RS"/>
        </w:rPr>
        <w:t xml:space="preserve">Tabela </w:t>
      </w:r>
      <w:r w:rsidR="00C274C4" w:rsidRPr="00FF3BB3">
        <w:rPr>
          <w:noProof/>
          <w:lang w:val="sr-Latn-RS"/>
        </w:rPr>
        <w:fldChar w:fldCharType="begin"/>
      </w:r>
      <w:r w:rsidR="00C274C4" w:rsidRPr="00FF3BB3">
        <w:rPr>
          <w:noProof/>
          <w:lang w:val="sr-Latn-RS"/>
        </w:rPr>
        <w:instrText xml:space="preserve"> SEQ Table \* ARABIC </w:instrText>
      </w:r>
      <w:r w:rsidR="00C274C4" w:rsidRPr="00FF3BB3">
        <w:rPr>
          <w:noProof/>
          <w:lang w:val="sr-Latn-RS"/>
        </w:rPr>
        <w:fldChar w:fldCharType="separate"/>
      </w:r>
      <w:r w:rsidR="005A6260">
        <w:rPr>
          <w:noProof/>
          <w:lang w:val="sr-Latn-RS"/>
        </w:rPr>
        <w:t>1</w:t>
      </w:r>
      <w:r w:rsidR="00C274C4" w:rsidRPr="00FF3BB3">
        <w:rPr>
          <w:noProof/>
          <w:lang w:val="sr-Latn-RS"/>
        </w:rPr>
        <w:fldChar w:fldCharType="end"/>
      </w:r>
      <w:r w:rsidRPr="00FF3BB3">
        <w:rPr>
          <w:lang w:val="sr-Latn-RS"/>
        </w:rPr>
        <w:t>Izvori finansiranja granta za opštinski učinak za fiskalnu 202</w:t>
      </w:r>
      <w:r w:rsidR="001A2494">
        <w:rPr>
          <w:lang w:val="sr-Latn-RS"/>
        </w:rPr>
        <w:t>6</w:t>
      </w:r>
      <w:r w:rsidRPr="00FF3BB3">
        <w:rPr>
          <w:lang w:val="sr-Latn-RS"/>
        </w:rPr>
        <w:t>. godinu (u evrima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960"/>
      </w:tblGrid>
      <w:tr w:rsidR="0006116B" w:rsidRPr="00FF3BB3" w14:paraId="33DFFD5B" w14:textId="77777777" w:rsidTr="00FF3BB3">
        <w:trPr>
          <w:trHeight w:val="423"/>
        </w:trPr>
        <w:tc>
          <w:tcPr>
            <w:tcW w:w="539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1845B90" w14:textId="77777777" w:rsidR="0006116B" w:rsidRPr="00FF3BB3" w:rsidRDefault="0006116B" w:rsidP="00FF3BB3">
            <w:pPr>
              <w:spacing w:after="0" w:line="256" w:lineRule="auto"/>
              <w:rPr>
                <w:rFonts w:eastAsia="Times New Roman" w:cs="Times New Roman"/>
                <w:b/>
                <w:bCs/>
                <w:color w:val="FFFFFF" w:themeColor="background1"/>
                <w:lang w:val="sr-Latn-RS"/>
              </w:rPr>
            </w:pPr>
            <w:bookmarkStart w:id="6" w:name="_Hlk163239884"/>
            <w:r w:rsidRPr="00FF3BB3">
              <w:rPr>
                <w:rFonts w:eastAsia="Times New Roman" w:cs="Times New Roman"/>
                <w:b/>
                <w:bCs/>
                <w:color w:val="FFFFFF" w:themeColor="background1"/>
                <w:lang w:val="sr-Latn-RS"/>
              </w:rPr>
              <w:t>Izvori finansiranja</w:t>
            </w:r>
          </w:p>
        </w:tc>
        <w:tc>
          <w:tcPr>
            <w:tcW w:w="396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DB996ED" w14:textId="586DD2B3" w:rsidR="0006116B" w:rsidRPr="00FF3BB3" w:rsidRDefault="00CA2E28" w:rsidP="00CA2E28">
            <w:pPr>
              <w:spacing w:after="0" w:line="256" w:lineRule="auto"/>
              <w:jc w:val="center"/>
              <w:rPr>
                <w:rFonts w:eastAsia="Times New Roman" w:cs="Times New Roman"/>
                <w:b/>
                <w:bCs/>
                <w:color w:val="FFFFFF" w:themeColor="background1"/>
                <w:lang w:val="sr-Latn-RS"/>
              </w:rPr>
            </w:pPr>
            <w:r w:rsidRPr="00FF3BB3">
              <w:rPr>
                <w:rFonts w:eastAsia="Times New Roman" w:cs="Times New Roman"/>
                <w:b/>
                <w:bCs/>
                <w:color w:val="FFFFFF" w:themeColor="background1"/>
                <w:lang w:val="sr-Latn-RS"/>
              </w:rPr>
              <w:t>Vrednost</w:t>
            </w:r>
            <w:r>
              <w:rPr>
                <w:rFonts w:eastAsia="Times New Roman" w:cs="Times New Roman"/>
                <w:b/>
                <w:bCs/>
                <w:color w:val="FFFFFF" w:themeColor="background1"/>
                <w:lang w:val="sr-Latn-RS"/>
              </w:rPr>
              <w:t xml:space="preserve"> GOU-a</w:t>
            </w:r>
            <w:r w:rsidR="0006116B" w:rsidRPr="00FF3BB3">
              <w:rPr>
                <w:rFonts w:eastAsia="Times New Roman" w:cs="Times New Roman"/>
                <w:b/>
                <w:bCs/>
                <w:color w:val="FFFFFF" w:themeColor="background1"/>
                <w:lang w:val="sr-Latn-RS"/>
              </w:rPr>
              <w:t xml:space="preserve"> za fiskalnu 2025. godinu</w:t>
            </w:r>
          </w:p>
        </w:tc>
        <w:bookmarkEnd w:id="6"/>
      </w:tr>
      <w:tr w:rsidR="0006116B" w:rsidRPr="00FF3BB3" w14:paraId="0323C1BA" w14:textId="77777777" w:rsidTr="00FF3BB3">
        <w:trPr>
          <w:trHeight w:val="242"/>
        </w:trPr>
        <w:tc>
          <w:tcPr>
            <w:tcW w:w="539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3075E2E" w14:textId="12F7A5BE" w:rsidR="0006116B" w:rsidRPr="00FF3BB3" w:rsidRDefault="00CA2E28" w:rsidP="00FF3BB3">
            <w:pPr>
              <w:spacing w:after="0" w:line="256" w:lineRule="auto"/>
              <w:rPr>
                <w:rFonts w:eastAsia="Times New Roman" w:cs="Times New Roman"/>
                <w:lang w:val="sr-Latn-RS"/>
              </w:rPr>
            </w:pPr>
            <w:r>
              <w:rPr>
                <w:rFonts w:eastAsia="Times New Roman" w:cs="Times New Roman"/>
                <w:lang w:val="sr-Latn-RS"/>
              </w:rPr>
              <w:t>Vlada Republike Kosovo / MALS</w:t>
            </w:r>
          </w:p>
        </w:tc>
        <w:tc>
          <w:tcPr>
            <w:tcW w:w="39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CB4E78C" w14:textId="1E4EE286" w:rsidR="0006116B" w:rsidRPr="00FF3BB3" w:rsidRDefault="006C1555" w:rsidP="00FF3BB3">
            <w:pPr>
              <w:spacing w:after="0" w:line="256" w:lineRule="auto"/>
              <w:jc w:val="center"/>
              <w:rPr>
                <w:rFonts w:eastAsia="Times New Roman" w:cs="Times New Roman"/>
                <w:lang w:val="sr-Latn-RS"/>
              </w:rPr>
            </w:pPr>
            <w:r>
              <w:rPr>
                <w:rFonts w:eastAsia="Times New Roman" w:cs="Times New Roman"/>
                <w:lang w:val="sr-Latn-RS"/>
              </w:rPr>
              <w:t>2</w:t>
            </w:r>
            <w:r w:rsidR="0006116B" w:rsidRPr="00FF3BB3">
              <w:rPr>
                <w:rFonts w:eastAsia="Times New Roman" w:cs="Times New Roman"/>
                <w:lang w:val="sr-Latn-RS"/>
              </w:rPr>
              <w:t>.</w:t>
            </w:r>
            <w:r w:rsidR="001A2494">
              <w:rPr>
                <w:rFonts w:eastAsia="Times New Roman" w:cs="Times New Roman"/>
                <w:lang w:val="sr-Latn-RS"/>
              </w:rPr>
              <w:t>0</w:t>
            </w:r>
            <w:r w:rsidR="0006116B" w:rsidRPr="00FF3BB3">
              <w:rPr>
                <w:rFonts w:eastAsia="Times New Roman" w:cs="Times New Roman"/>
                <w:lang w:val="sr-Latn-RS"/>
              </w:rPr>
              <w:t>00.000 evra</w:t>
            </w:r>
          </w:p>
        </w:tc>
      </w:tr>
      <w:tr w:rsidR="0006116B" w:rsidRPr="00FF3BB3" w14:paraId="11395E94" w14:textId="77777777" w:rsidTr="00FF3BB3">
        <w:trPr>
          <w:trHeight w:val="450"/>
        </w:trPr>
        <w:tc>
          <w:tcPr>
            <w:tcW w:w="5395" w:type="dxa"/>
            <w:tcBorders>
              <w:top w:val="single" w:sz="4" w:space="0" w:color="auto"/>
              <w:left w:val="single" w:sz="4" w:space="0" w:color="auto"/>
              <w:bottom w:val="single" w:sz="4" w:space="0" w:color="auto"/>
              <w:right w:val="single" w:sz="4" w:space="0" w:color="auto"/>
            </w:tcBorders>
            <w:vAlign w:val="center"/>
            <w:hideMark/>
          </w:tcPr>
          <w:p w14:paraId="0DCBA436" w14:textId="70EF29EB" w:rsidR="0006116B" w:rsidRPr="00FF3BB3" w:rsidRDefault="002E27C5" w:rsidP="002E27C5">
            <w:pPr>
              <w:spacing w:after="0" w:line="256" w:lineRule="auto"/>
              <w:rPr>
                <w:rFonts w:eastAsia="Times New Roman" w:cs="Times New Roman"/>
                <w:lang w:val="sr-Latn-RS"/>
              </w:rPr>
            </w:pPr>
            <w:r>
              <w:rPr>
                <w:rFonts w:eastAsia="Times New Roman" w:cs="Times New Roman"/>
                <w:lang w:val="sr-Latn-RS"/>
              </w:rPr>
              <w:t>D</w:t>
            </w:r>
            <w:r w:rsidR="00CA2E28">
              <w:rPr>
                <w:rFonts w:eastAsia="Times New Roman" w:cs="Times New Roman"/>
                <w:lang w:val="sr-Latn-RS"/>
              </w:rPr>
              <w:t>oprinos</w:t>
            </w:r>
            <w:r>
              <w:rPr>
                <w:rFonts w:eastAsia="Times New Roman" w:cs="Times New Roman"/>
                <w:lang w:val="sr-Latn-RS"/>
              </w:rPr>
              <w:t>ioci</w:t>
            </w:r>
            <w:r w:rsidR="0006116B" w:rsidRPr="00FF3BB3">
              <w:rPr>
                <w:rFonts w:eastAsia="Times New Roman" w:cs="Times New Roman"/>
                <w:lang w:val="sr-Latn-RS"/>
              </w:rPr>
              <w:t xml:space="preserve"> (EU, Švajcarska, Švedska)</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8676277" w14:textId="7181D33F" w:rsidR="0006116B" w:rsidRPr="00FF3BB3" w:rsidRDefault="001A2494" w:rsidP="00FF3BB3">
            <w:pPr>
              <w:spacing w:after="0" w:line="256" w:lineRule="auto"/>
              <w:jc w:val="center"/>
              <w:rPr>
                <w:rFonts w:eastAsia="Times New Roman" w:cs="Times New Roman"/>
                <w:lang w:val="sr-Latn-RS"/>
              </w:rPr>
            </w:pPr>
            <w:r>
              <w:rPr>
                <w:rFonts w:eastAsia="Times New Roman" w:cs="Times New Roman"/>
                <w:lang w:val="sr-Latn-RS"/>
              </w:rPr>
              <w:t>1.11</w:t>
            </w:r>
            <w:r w:rsidR="0006116B" w:rsidRPr="00FF3BB3">
              <w:rPr>
                <w:rFonts w:eastAsia="Times New Roman" w:cs="Times New Roman"/>
                <w:lang w:val="sr-Latn-RS"/>
              </w:rPr>
              <w:t>0.000 evra</w:t>
            </w:r>
          </w:p>
        </w:tc>
      </w:tr>
      <w:tr w:rsidR="0006116B" w:rsidRPr="00FF3BB3" w14:paraId="31C5A326" w14:textId="77777777" w:rsidTr="00FF3BB3">
        <w:trPr>
          <w:trHeight w:val="214"/>
        </w:trPr>
        <w:tc>
          <w:tcPr>
            <w:tcW w:w="539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0EE0418" w14:textId="37D57173" w:rsidR="0006116B" w:rsidRPr="00FF3BB3" w:rsidRDefault="0006116B" w:rsidP="00FF3BB3">
            <w:pPr>
              <w:spacing w:after="0" w:line="256" w:lineRule="auto"/>
              <w:rPr>
                <w:rFonts w:eastAsia="Times New Roman" w:cs="Times New Roman"/>
                <w:b/>
                <w:bCs/>
                <w:lang w:val="sr-Latn-RS"/>
              </w:rPr>
            </w:pPr>
            <w:r w:rsidRPr="00FF3BB3">
              <w:rPr>
                <w:rFonts w:eastAsia="Times New Roman" w:cs="Times New Roman"/>
                <w:b/>
                <w:bCs/>
                <w:lang w:val="sr-Latn-RS"/>
              </w:rPr>
              <w:t xml:space="preserve">Ukupna </w:t>
            </w:r>
            <w:r w:rsidR="00CA2E28">
              <w:rPr>
                <w:rFonts w:eastAsia="Times New Roman" w:cs="Times New Roman"/>
                <w:b/>
                <w:bCs/>
                <w:lang w:val="sr-Latn-RS"/>
              </w:rPr>
              <w:t xml:space="preserve">financijska </w:t>
            </w:r>
            <w:r w:rsidRPr="00FF3BB3">
              <w:rPr>
                <w:rFonts w:eastAsia="Times New Roman" w:cs="Times New Roman"/>
                <w:b/>
                <w:bCs/>
                <w:lang w:val="sr-Latn-RS"/>
              </w:rPr>
              <w:t xml:space="preserve">sredstva </w:t>
            </w:r>
            <w:r w:rsidR="00CA2E28">
              <w:rPr>
                <w:rFonts w:eastAsia="Times New Roman" w:cs="Times New Roman"/>
                <w:b/>
                <w:bCs/>
                <w:lang w:val="sr-Latn-RS"/>
              </w:rPr>
              <w:t>za GOU</w:t>
            </w:r>
          </w:p>
        </w:tc>
        <w:tc>
          <w:tcPr>
            <w:tcW w:w="39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61FECA1" w14:textId="7E8B3B20" w:rsidR="0006116B" w:rsidRPr="00FF3BB3" w:rsidRDefault="006C1555" w:rsidP="00FF3BB3">
            <w:pPr>
              <w:spacing w:after="0" w:line="256" w:lineRule="auto"/>
              <w:jc w:val="center"/>
              <w:rPr>
                <w:rFonts w:eastAsia="Times New Roman" w:cs="Times New Roman"/>
                <w:b/>
                <w:bCs/>
                <w:lang w:val="sr-Latn-RS"/>
              </w:rPr>
            </w:pPr>
            <w:r>
              <w:rPr>
                <w:rFonts w:eastAsia="Times New Roman" w:cs="Times New Roman"/>
                <w:b/>
                <w:bCs/>
                <w:lang w:val="sr-Latn-RS"/>
              </w:rPr>
              <w:t>3</w:t>
            </w:r>
            <w:r w:rsidR="0006116B" w:rsidRPr="00FF3BB3">
              <w:rPr>
                <w:rFonts w:eastAsia="Times New Roman" w:cs="Times New Roman"/>
                <w:b/>
                <w:bCs/>
                <w:lang w:val="sr-Latn-RS"/>
              </w:rPr>
              <w:t>.</w:t>
            </w:r>
            <w:r w:rsidR="001A2494">
              <w:rPr>
                <w:rFonts w:eastAsia="Times New Roman" w:cs="Times New Roman"/>
                <w:b/>
                <w:bCs/>
                <w:lang w:val="sr-Latn-RS"/>
              </w:rPr>
              <w:t>11</w:t>
            </w:r>
            <w:r w:rsidR="0006116B" w:rsidRPr="00FF3BB3">
              <w:rPr>
                <w:rFonts w:eastAsia="Times New Roman" w:cs="Times New Roman"/>
                <w:b/>
                <w:bCs/>
                <w:lang w:val="sr-Latn-RS"/>
              </w:rPr>
              <w:t>0.000 evra</w:t>
            </w:r>
          </w:p>
        </w:tc>
      </w:tr>
    </w:tbl>
    <w:p w14:paraId="00BF38FD"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kern w:val="2"/>
          <w:sz w:val="21"/>
          <w:szCs w:val="21"/>
          <w:lang w:val="sr-Latn-RS"/>
          <w14:ligatures w14:val="standardContextual"/>
        </w:rPr>
      </w:pPr>
    </w:p>
    <w:p w14:paraId="42F9FB4E" w14:textId="30A0457E"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Proces </w:t>
      </w:r>
      <w:r w:rsidR="00CA2E28">
        <w:rPr>
          <w:color w:val="0E2841" w:themeColor="text2"/>
          <w:kern w:val="2"/>
          <w:lang w:val="sr-Latn-RS"/>
          <w14:ligatures w14:val="standardContextual"/>
        </w:rPr>
        <w:t>procene</w:t>
      </w:r>
      <w:r w:rsidRPr="00FF3BB3">
        <w:rPr>
          <w:color w:val="0E2841" w:themeColor="text2"/>
          <w:kern w:val="2"/>
          <w:lang w:val="sr-Latn-RS"/>
          <w14:ligatures w14:val="standardContextual"/>
        </w:rPr>
        <w:t xml:space="preserve"> granta za opštinski učinak za fiskalnu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godinu na osnovu opštinskog učinka za 202</w:t>
      </w:r>
      <w:r w:rsidR="001A2494">
        <w:rPr>
          <w:color w:val="0E2841" w:themeColor="text2"/>
          <w:kern w:val="2"/>
          <w:lang w:val="sr-Latn-RS"/>
          <w14:ligatures w14:val="standardContextual"/>
        </w:rPr>
        <w:t>4</w:t>
      </w:r>
      <w:r w:rsidRPr="00FF3BB3">
        <w:rPr>
          <w:color w:val="0E2841" w:themeColor="text2"/>
          <w:kern w:val="2"/>
          <w:lang w:val="sr-Latn-RS"/>
          <w14:ligatures w14:val="standardContextual"/>
        </w:rPr>
        <w:t xml:space="preserve">. godinu sproveden je u </w:t>
      </w:r>
      <w:r w:rsidR="001A2494">
        <w:rPr>
          <w:color w:val="0E2841" w:themeColor="text2"/>
          <w:kern w:val="2"/>
          <w:lang w:val="sr-Latn-RS"/>
          <w14:ligatures w14:val="standardContextual"/>
        </w:rPr>
        <w:t>novembru</w:t>
      </w:r>
      <w:r w:rsidRPr="00FF3BB3">
        <w:rPr>
          <w:color w:val="0E2841" w:themeColor="text2"/>
          <w:kern w:val="2"/>
          <w:lang w:val="sr-Latn-RS"/>
          <w14:ligatures w14:val="standardContextual"/>
        </w:rPr>
        <w:t xml:space="preserve"> 202</w:t>
      </w:r>
      <w:r w:rsidR="001A2494">
        <w:rPr>
          <w:color w:val="0E2841" w:themeColor="text2"/>
          <w:kern w:val="2"/>
          <w:lang w:val="sr-Latn-RS"/>
          <w14:ligatures w14:val="standardContextual"/>
        </w:rPr>
        <w:t>5</w:t>
      </w:r>
      <w:r w:rsidRPr="00FF3BB3">
        <w:rPr>
          <w:color w:val="0E2841" w:themeColor="text2"/>
          <w:kern w:val="2"/>
          <w:lang w:val="sr-Latn-RS"/>
          <w14:ligatures w14:val="standardContextual"/>
        </w:rPr>
        <w:t xml:space="preserve">. godine u skladu sa </w:t>
      </w:r>
      <w:r w:rsidR="002E27C5">
        <w:rPr>
          <w:color w:val="0E2841" w:themeColor="text2"/>
          <w:kern w:val="2"/>
          <w:lang w:val="sr-Latn-RS"/>
          <w14:ligatures w14:val="standardContextual"/>
        </w:rPr>
        <w:t>minimalnim</w:t>
      </w:r>
      <w:r w:rsidR="00CA2E28">
        <w:rPr>
          <w:color w:val="0E2841" w:themeColor="text2"/>
          <w:kern w:val="2"/>
          <w:lang w:val="sr-Latn-RS"/>
          <w14:ligatures w14:val="standardContextual"/>
        </w:rPr>
        <w:t xml:space="preserve"> </w:t>
      </w:r>
      <w:r w:rsidRPr="00FF3BB3">
        <w:rPr>
          <w:color w:val="0E2841" w:themeColor="text2"/>
          <w:kern w:val="2"/>
          <w:lang w:val="sr-Latn-RS"/>
          <w14:ligatures w14:val="standardContextual"/>
        </w:rPr>
        <w:t xml:space="preserve">uslovima i </w:t>
      </w:r>
      <w:r w:rsidR="00CA2E28">
        <w:rPr>
          <w:color w:val="0E2841" w:themeColor="text2"/>
          <w:kern w:val="2"/>
          <w:lang w:val="sr-Latn-RS"/>
          <w14:ligatures w14:val="standardContextual"/>
        </w:rPr>
        <w:t xml:space="preserve">pokazateljima </w:t>
      </w:r>
      <w:r w:rsidRPr="00FF3BB3">
        <w:rPr>
          <w:color w:val="0E2841" w:themeColor="text2"/>
          <w:kern w:val="2"/>
          <w:lang w:val="sr-Latn-RS"/>
          <w14:ligatures w14:val="standardContextual"/>
        </w:rPr>
        <w:t xml:space="preserve">definisanim u Pravilima </w:t>
      </w:r>
      <w:r w:rsidR="00CA2E28">
        <w:rPr>
          <w:color w:val="0E2841" w:themeColor="text2"/>
          <w:kern w:val="2"/>
          <w:lang w:val="sr-Latn-RS"/>
          <w14:ligatures w14:val="standardContextual"/>
        </w:rPr>
        <w:t>G</w:t>
      </w:r>
      <w:r w:rsidRPr="00FF3BB3">
        <w:rPr>
          <w:color w:val="0E2841" w:themeColor="text2"/>
          <w:kern w:val="2"/>
          <w:lang w:val="sr-Latn-RS"/>
          <w14:ligatures w14:val="standardContextual"/>
        </w:rPr>
        <w:t>rant</w:t>
      </w:r>
      <w:r w:rsidR="00CA2E28">
        <w:rPr>
          <w:color w:val="0E2841" w:themeColor="text2"/>
          <w:kern w:val="2"/>
          <w:lang w:val="sr-Latn-RS"/>
          <w14:ligatures w14:val="standardContextual"/>
        </w:rPr>
        <w:t>a</w:t>
      </w:r>
      <w:r w:rsidRPr="00FF3BB3">
        <w:rPr>
          <w:color w:val="0E2841" w:themeColor="text2"/>
          <w:kern w:val="2"/>
          <w:lang w:val="sr-Latn-RS"/>
          <w14:ligatures w14:val="standardContextual"/>
        </w:rPr>
        <w:t xml:space="preserve"> za fiskalnu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xml:space="preserve">. godinu. </w:t>
      </w:r>
    </w:p>
    <w:p w14:paraId="0B2ABE6D" w14:textId="2DA9D05F"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Odbor grant</w:t>
      </w:r>
      <w:r w:rsidR="00CA2E28">
        <w:rPr>
          <w:color w:val="0E2841" w:themeColor="text2"/>
          <w:kern w:val="2"/>
          <w:lang w:val="sr-Latn-RS"/>
          <w14:ligatures w14:val="standardContextual"/>
        </w:rPr>
        <w:t>a</w:t>
      </w:r>
      <w:r w:rsidRPr="00FF3BB3">
        <w:rPr>
          <w:color w:val="0E2841" w:themeColor="text2"/>
          <w:kern w:val="2"/>
          <w:lang w:val="sr-Latn-RS"/>
          <w14:ligatures w14:val="standardContextual"/>
        </w:rPr>
        <w:t xml:space="preserve"> za opštinski učinak (</w:t>
      </w:r>
      <w:r w:rsidR="00CA2E28">
        <w:rPr>
          <w:color w:val="0E2841" w:themeColor="text2"/>
          <w:kern w:val="2"/>
          <w:lang w:val="sr-Latn-RS"/>
          <w14:ligatures w14:val="standardContextual"/>
        </w:rPr>
        <w:t>OFOU</w:t>
      </w:r>
      <w:r w:rsidRPr="00FF3BB3">
        <w:rPr>
          <w:color w:val="0E2841" w:themeColor="text2"/>
          <w:kern w:val="2"/>
          <w:lang w:val="sr-Latn-RS"/>
          <w14:ligatures w14:val="standardContextual"/>
        </w:rPr>
        <w:t>) i Tehnička grupa (T</w:t>
      </w:r>
      <w:r w:rsidR="00CA2E28">
        <w:rPr>
          <w:color w:val="0E2841" w:themeColor="text2"/>
          <w:kern w:val="2"/>
          <w:lang w:val="sr-Latn-RS"/>
          <w14:ligatures w14:val="standardContextual"/>
        </w:rPr>
        <w:t>G</w:t>
      </w:r>
      <w:r w:rsidRPr="00FF3BB3">
        <w:rPr>
          <w:color w:val="0E2841" w:themeColor="text2"/>
          <w:kern w:val="2"/>
          <w:lang w:val="sr-Latn-RS"/>
          <w14:ligatures w14:val="standardContextual"/>
        </w:rPr>
        <w:t>) su odgovorn</w:t>
      </w:r>
      <w:r w:rsidR="00CA2E28">
        <w:rPr>
          <w:color w:val="0E2841" w:themeColor="text2"/>
          <w:kern w:val="2"/>
          <w:lang w:val="sr-Latn-RS"/>
          <w14:ligatures w14:val="standardContextual"/>
        </w:rPr>
        <w:t xml:space="preserve">i organi </w:t>
      </w:r>
      <w:r w:rsidRPr="00FF3BB3">
        <w:rPr>
          <w:color w:val="0E2841" w:themeColor="text2"/>
          <w:kern w:val="2"/>
          <w:lang w:val="sr-Latn-RS"/>
          <w14:ligatures w14:val="standardContextual"/>
        </w:rPr>
        <w:t xml:space="preserve">za </w:t>
      </w:r>
      <w:r w:rsidR="00CA2E28">
        <w:rPr>
          <w:color w:val="0E2841" w:themeColor="text2"/>
          <w:kern w:val="2"/>
          <w:lang w:val="sr-Latn-RS"/>
          <w14:ligatures w14:val="standardContextual"/>
        </w:rPr>
        <w:t>pr</w:t>
      </w:r>
      <w:r w:rsidRPr="00FF3BB3">
        <w:rPr>
          <w:color w:val="0E2841" w:themeColor="text2"/>
          <w:kern w:val="2"/>
          <w:lang w:val="sr-Latn-RS"/>
          <w14:ligatures w14:val="standardContextual"/>
        </w:rPr>
        <w:t>ocenu i do</w:t>
      </w:r>
      <w:r w:rsidR="00CA2E28">
        <w:rPr>
          <w:color w:val="0E2841" w:themeColor="text2"/>
          <w:kern w:val="2"/>
          <w:lang w:val="sr-Latn-RS"/>
          <w14:ligatures w14:val="standardContextual"/>
        </w:rPr>
        <w:t>delu granta za opštinski učinak</w:t>
      </w:r>
      <w:r w:rsidRPr="00FF3BB3">
        <w:rPr>
          <w:color w:val="0E2841" w:themeColor="text2"/>
          <w:kern w:val="2"/>
          <w:lang w:val="sr-Latn-RS"/>
          <w14:ligatures w14:val="standardContextual"/>
        </w:rPr>
        <w:t xml:space="preserve">. Komisija za žalbe razmatra i odlučuje o </w:t>
      </w:r>
      <w:r w:rsidR="00CA2E28">
        <w:rPr>
          <w:color w:val="0E2841" w:themeColor="text2"/>
          <w:kern w:val="2"/>
          <w:lang w:val="sr-Latn-RS"/>
          <w14:ligatures w14:val="standardContextual"/>
        </w:rPr>
        <w:t>mogućim</w:t>
      </w:r>
      <w:r w:rsidRPr="00FF3BB3">
        <w:rPr>
          <w:color w:val="0E2841" w:themeColor="text2"/>
          <w:kern w:val="2"/>
          <w:lang w:val="sr-Latn-RS"/>
          <w14:ligatures w14:val="standardContextual"/>
        </w:rPr>
        <w:t xml:space="preserve"> </w:t>
      </w:r>
      <w:r w:rsidR="00CA2E28">
        <w:rPr>
          <w:color w:val="0E2841" w:themeColor="text2"/>
          <w:kern w:val="2"/>
          <w:lang w:val="sr-Latn-RS"/>
          <w14:ligatures w14:val="standardContextual"/>
        </w:rPr>
        <w:t xml:space="preserve">žalbama </w:t>
      </w:r>
      <w:r w:rsidRPr="00FF3BB3">
        <w:rPr>
          <w:color w:val="0E2841" w:themeColor="text2"/>
          <w:kern w:val="2"/>
          <w:lang w:val="sr-Latn-RS"/>
          <w14:ligatures w14:val="standardContextual"/>
        </w:rPr>
        <w:t>opština.</w:t>
      </w:r>
    </w:p>
    <w:p w14:paraId="01D8076F" w14:textId="2437D71C"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Da bi koristile grant za opštinski učinak (</w:t>
      </w:r>
      <w:r w:rsidR="00CA2E28">
        <w:rPr>
          <w:color w:val="0E2841" w:themeColor="text2"/>
          <w:kern w:val="2"/>
          <w:lang w:val="sr-Latn-RS"/>
          <w14:ligatures w14:val="standardContextual"/>
        </w:rPr>
        <w:t>GOU</w:t>
      </w:r>
      <w:r w:rsidRPr="00FF3BB3">
        <w:rPr>
          <w:color w:val="0E2841" w:themeColor="text2"/>
          <w:kern w:val="2"/>
          <w:lang w:val="sr-Latn-RS"/>
          <w14:ligatures w14:val="standardContextual"/>
        </w:rPr>
        <w:t>) iz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xml:space="preserve">. godine, opštine moraju ispuniti četiri </w:t>
      </w:r>
      <w:r w:rsidR="002E27C5">
        <w:rPr>
          <w:color w:val="0E2841" w:themeColor="text2"/>
          <w:kern w:val="2"/>
          <w:lang w:val="sr-Latn-RS"/>
          <w14:ligatures w14:val="standardContextual"/>
        </w:rPr>
        <w:t>minimalna</w:t>
      </w:r>
      <w:r w:rsidR="00BD462A">
        <w:rPr>
          <w:color w:val="0E2841" w:themeColor="text2"/>
          <w:kern w:val="2"/>
          <w:lang w:val="sr-Latn-RS"/>
          <w14:ligatures w14:val="standardContextual"/>
        </w:rPr>
        <w:t xml:space="preserve"> </w:t>
      </w:r>
      <w:r w:rsidRPr="00FF3BB3">
        <w:rPr>
          <w:color w:val="0E2841" w:themeColor="text2"/>
          <w:kern w:val="2"/>
          <w:lang w:val="sr-Latn-RS"/>
          <w14:ligatures w14:val="standardContextual"/>
        </w:rPr>
        <w:t>uslova: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8575"/>
      </w:tblGrid>
      <w:tr w:rsidR="0006116B" w:rsidRPr="00FF3BB3" w14:paraId="79B838F1" w14:textId="77777777" w:rsidTr="00FF3BB3">
        <w:trPr>
          <w:trHeight w:val="171"/>
        </w:trPr>
        <w:tc>
          <w:tcPr>
            <w:tcW w:w="9464" w:type="dxa"/>
            <w:gridSpan w:val="2"/>
            <w:shd w:val="clear" w:color="auto" w:fill="4472C4"/>
          </w:tcPr>
          <w:p w14:paraId="57A1EAC4" w14:textId="13DC99A6" w:rsidR="0006116B" w:rsidRPr="00FF3BB3" w:rsidRDefault="002E27C5" w:rsidP="00FF3BB3">
            <w:pPr>
              <w:spacing w:after="0" w:line="256" w:lineRule="auto"/>
              <w:jc w:val="center"/>
              <w:rPr>
                <w:rFonts w:eastAsia="Times New Roman" w:cs="Times New Roman"/>
                <w:b/>
                <w:bCs/>
                <w:color w:val="FFFFFF" w:themeColor="background1"/>
                <w:sz w:val="21"/>
                <w:szCs w:val="21"/>
                <w:lang w:val="sr-Latn-RS"/>
              </w:rPr>
            </w:pPr>
            <w:r>
              <w:rPr>
                <w:rFonts w:eastAsia="Times New Roman" w:cs="Times New Roman"/>
                <w:b/>
                <w:bCs/>
                <w:color w:val="FFFFFF" w:themeColor="background1"/>
                <w:sz w:val="21"/>
                <w:szCs w:val="21"/>
                <w:lang w:val="sr-Latn-RS"/>
              </w:rPr>
              <w:t>Minimalni</w:t>
            </w:r>
            <w:r w:rsidR="0006116B" w:rsidRPr="00FF3BB3">
              <w:rPr>
                <w:rFonts w:eastAsia="Times New Roman" w:cs="Times New Roman"/>
                <w:b/>
                <w:bCs/>
                <w:color w:val="FFFFFF" w:themeColor="background1"/>
                <w:sz w:val="21"/>
                <w:szCs w:val="21"/>
                <w:lang w:val="sr-Latn-RS"/>
              </w:rPr>
              <w:t xml:space="preserve"> uslovi</w:t>
            </w:r>
          </w:p>
        </w:tc>
      </w:tr>
      <w:tr w:rsidR="0006116B" w:rsidRPr="00FF3BB3" w14:paraId="3790F97D" w14:textId="77777777" w:rsidTr="00FF3BB3">
        <w:trPr>
          <w:trHeight w:val="333"/>
        </w:trPr>
        <w:tc>
          <w:tcPr>
            <w:tcW w:w="889" w:type="dxa"/>
            <w:shd w:val="clear" w:color="auto" w:fill="D9E2F3"/>
          </w:tcPr>
          <w:p w14:paraId="2B6D814B" w14:textId="77F92191" w:rsidR="0006116B" w:rsidRPr="00FF3BB3" w:rsidRDefault="0006116B" w:rsidP="00FF3BB3">
            <w:pPr>
              <w:spacing w:after="0" w:line="240" w:lineRule="auto"/>
              <w:rPr>
                <w:rFonts w:eastAsia="Times New Roman" w:cs="Times New Roman"/>
                <w:sz w:val="21"/>
                <w:szCs w:val="21"/>
                <w:lang w:val="sr-Latn-RS"/>
              </w:rPr>
            </w:pPr>
            <w:r w:rsidRPr="00FF3BB3">
              <w:rPr>
                <w:rFonts w:eastAsia="Times New Roman" w:cs="Times New Roman"/>
                <w:sz w:val="21"/>
                <w:szCs w:val="21"/>
                <w:lang w:val="sr-Latn-RS"/>
              </w:rPr>
              <w:t>M</w:t>
            </w:r>
            <w:r w:rsidR="00EF39A0">
              <w:rPr>
                <w:rFonts w:eastAsia="Times New Roman" w:cs="Times New Roman"/>
                <w:sz w:val="21"/>
                <w:szCs w:val="21"/>
                <w:lang w:val="sr-Latn-RS"/>
              </w:rPr>
              <w:t>U</w:t>
            </w:r>
            <w:r w:rsidRPr="00FF3BB3">
              <w:rPr>
                <w:rFonts w:eastAsia="Times New Roman" w:cs="Times New Roman"/>
                <w:sz w:val="21"/>
                <w:szCs w:val="21"/>
                <w:lang w:val="sr-Latn-RS"/>
              </w:rPr>
              <w:t>1</w:t>
            </w:r>
          </w:p>
        </w:tc>
        <w:tc>
          <w:tcPr>
            <w:tcW w:w="8574" w:type="dxa"/>
            <w:shd w:val="clear" w:color="auto" w:fill="D9E2F3"/>
            <w:vAlign w:val="center"/>
            <w:hideMark/>
          </w:tcPr>
          <w:p w14:paraId="2305EAF2" w14:textId="6CD6631F" w:rsidR="0006116B" w:rsidRPr="00FF3BB3" w:rsidRDefault="0006116B" w:rsidP="00FF3BB3">
            <w:pPr>
              <w:tabs>
                <w:tab w:val="num" w:pos="1789"/>
              </w:tabs>
              <w:spacing w:before="20" w:after="0" w:line="240" w:lineRule="auto"/>
              <w:rPr>
                <w:kern w:val="2"/>
                <w:sz w:val="21"/>
                <w:szCs w:val="21"/>
                <w:lang w:val="sr-Latn-RS"/>
                <w14:ligatures w14:val="standardContextual"/>
              </w:rPr>
            </w:pPr>
            <w:r w:rsidRPr="00FF3BB3">
              <w:rPr>
                <w:kern w:val="2"/>
                <w:sz w:val="21"/>
                <w:szCs w:val="21"/>
                <w:lang w:val="sr-Latn-RS"/>
                <w14:ligatures w14:val="standardContextual"/>
              </w:rPr>
              <w:t xml:space="preserve">Opštine moraju </w:t>
            </w:r>
            <w:r w:rsidR="00BD462A">
              <w:rPr>
                <w:kern w:val="2"/>
                <w:sz w:val="21"/>
                <w:szCs w:val="21"/>
                <w:lang w:val="sr-Latn-RS"/>
                <w14:ligatures w14:val="standardContextual"/>
              </w:rPr>
              <w:t>izveštavati o</w:t>
            </w:r>
            <w:r w:rsidRPr="00FF3BB3">
              <w:rPr>
                <w:kern w:val="2"/>
                <w:sz w:val="21"/>
                <w:szCs w:val="21"/>
                <w:lang w:val="sr-Latn-RS"/>
                <w14:ligatures w14:val="standardContextual"/>
              </w:rPr>
              <w:t xml:space="preserve"> poda</w:t>
            </w:r>
            <w:r w:rsidR="00BD462A">
              <w:rPr>
                <w:kern w:val="2"/>
                <w:sz w:val="21"/>
                <w:szCs w:val="21"/>
                <w:lang w:val="sr-Latn-RS"/>
                <w14:ligatures w14:val="standardContextual"/>
              </w:rPr>
              <w:t xml:space="preserve">cima u </w:t>
            </w:r>
            <w:r w:rsidR="00FD2737">
              <w:rPr>
                <w:kern w:val="2"/>
                <w:sz w:val="21"/>
                <w:szCs w:val="21"/>
                <w:lang w:val="sr-Latn-RS"/>
                <w14:ligatures w14:val="standardContextual"/>
              </w:rPr>
              <w:t>SUUO</w:t>
            </w:r>
            <w:r w:rsidRPr="00FF3BB3">
              <w:rPr>
                <w:kern w:val="2"/>
                <w:sz w:val="21"/>
                <w:szCs w:val="21"/>
                <w:lang w:val="sr-Latn-RS"/>
                <w14:ligatures w14:val="standardContextual"/>
              </w:rPr>
              <w:t xml:space="preserve"> u skladu sa rokom definisanim u članu 19.2</w:t>
            </w:r>
            <w:r w:rsidR="00BD462A">
              <w:rPr>
                <w:kern w:val="2"/>
                <w:sz w:val="21"/>
                <w:szCs w:val="21"/>
                <w:lang w:val="sr-Latn-RS"/>
                <w14:ligatures w14:val="standardContextual"/>
              </w:rPr>
              <w:t>.</w:t>
            </w:r>
            <w:r w:rsidRPr="00FF3BB3">
              <w:rPr>
                <w:kern w:val="2"/>
                <w:sz w:val="21"/>
                <w:szCs w:val="21"/>
                <w:lang w:val="sr-Latn-RS"/>
                <w14:ligatures w14:val="standardContextual"/>
              </w:rPr>
              <w:t xml:space="preserve"> Zakona o S</w:t>
            </w:r>
            <w:r w:rsidR="00BD462A">
              <w:rPr>
                <w:kern w:val="2"/>
                <w:sz w:val="21"/>
                <w:szCs w:val="21"/>
                <w:lang w:val="sr-Latn-RS"/>
                <w14:ligatures w14:val="standardContextual"/>
              </w:rPr>
              <w:t>UUO</w:t>
            </w:r>
            <w:r w:rsidRPr="00FF3BB3">
              <w:rPr>
                <w:kern w:val="2"/>
                <w:sz w:val="21"/>
                <w:szCs w:val="21"/>
                <w:lang w:val="sr-Latn-RS"/>
                <w14:ligatures w14:val="standardContextual"/>
              </w:rPr>
              <w:t>/</w:t>
            </w:r>
            <w:r w:rsidR="00BD462A">
              <w:rPr>
                <w:kern w:val="2"/>
                <w:sz w:val="21"/>
                <w:szCs w:val="21"/>
                <w:lang w:val="sr-Latn-RS"/>
                <w14:ligatures w14:val="standardContextual"/>
              </w:rPr>
              <w:t>ŠGZU</w:t>
            </w:r>
            <w:r w:rsidRPr="00FF3BB3">
              <w:rPr>
                <w:kern w:val="2"/>
                <w:sz w:val="21"/>
                <w:szCs w:val="21"/>
                <w:lang w:val="sr-Latn-RS"/>
                <w14:ligatures w14:val="standardContextual"/>
              </w:rPr>
              <w:t>;</w:t>
            </w:r>
          </w:p>
          <w:p w14:paraId="35131171" w14:textId="77777777" w:rsidR="0006116B" w:rsidRPr="00FF3BB3" w:rsidRDefault="0006116B" w:rsidP="00FF3BB3">
            <w:pPr>
              <w:spacing w:after="0" w:line="240" w:lineRule="auto"/>
              <w:rPr>
                <w:rFonts w:eastAsia="Times New Roman" w:cs="Times New Roman"/>
                <w:sz w:val="21"/>
                <w:szCs w:val="21"/>
                <w:lang w:val="sr-Latn-RS"/>
              </w:rPr>
            </w:pPr>
          </w:p>
        </w:tc>
      </w:tr>
      <w:tr w:rsidR="0006116B" w:rsidRPr="00FF3BB3" w14:paraId="255732CA" w14:textId="77777777" w:rsidTr="00FF3BB3">
        <w:trPr>
          <w:trHeight w:val="333"/>
        </w:trPr>
        <w:tc>
          <w:tcPr>
            <w:tcW w:w="889" w:type="dxa"/>
            <w:shd w:val="clear" w:color="auto" w:fill="D9E2F3"/>
          </w:tcPr>
          <w:p w14:paraId="4FBFF74B" w14:textId="4E96D30F" w:rsidR="0006116B" w:rsidRPr="00FF3BB3" w:rsidRDefault="0006116B" w:rsidP="00FF3BB3">
            <w:pPr>
              <w:spacing w:after="0" w:line="240" w:lineRule="auto"/>
              <w:rPr>
                <w:rFonts w:eastAsia="Times New Roman" w:cs="Times New Roman"/>
                <w:sz w:val="21"/>
                <w:szCs w:val="21"/>
                <w:lang w:val="sr-Latn-RS"/>
              </w:rPr>
            </w:pPr>
            <w:r w:rsidRPr="00FF3BB3">
              <w:rPr>
                <w:rFonts w:eastAsia="Times New Roman" w:cs="Times New Roman"/>
                <w:sz w:val="21"/>
                <w:szCs w:val="21"/>
                <w:lang w:val="sr-Latn-RS"/>
              </w:rPr>
              <w:t>M</w:t>
            </w:r>
            <w:r w:rsidR="00EF39A0">
              <w:rPr>
                <w:rFonts w:eastAsia="Times New Roman" w:cs="Times New Roman"/>
                <w:sz w:val="21"/>
                <w:szCs w:val="21"/>
                <w:lang w:val="sr-Latn-RS"/>
              </w:rPr>
              <w:t>U</w:t>
            </w:r>
            <w:r w:rsidRPr="00FF3BB3">
              <w:rPr>
                <w:rFonts w:eastAsia="Times New Roman" w:cs="Times New Roman"/>
                <w:sz w:val="21"/>
                <w:szCs w:val="21"/>
                <w:lang w:val="sr-Latn-RS"/>
              </w:rPr>
              <w:t>2</w:t>
            </w:r>
          </w:p>
        </w:tc>
        <w:tc>
          <w:tcPr>
            <w:tcW w:w="8574" w:type="dxa"/>
            <w:shd w:val="clear" w:color="auto" w:fill="D9E2F3"/>
            <w:vAlign w:val="center"/>
          </w:tcPr>
          <w:p w14:paraId="127ECBA5" w14:textId="51941B2A" w:rsidR="0006116B" w:rsidRPr="00FF3BB3" w:rsidRDefault="0006116B" w:rsidP="00FF3BB3">
            <w:pPr>
              <w:spacing w:after="0" w:line="240" w:lineRule="auto"/>
              <w:rPr>
                <w:rFonts w:eastAsia="Times New Roman" w:cs="Times New Roman"/>
                <w:sz w:val="21"/>
                <w:szCs w:val="21"/>
                <w:lang w:val="sr-Latn-RS"/>
              </w:rPr>
            </w:pPr>
            <w:r w:rsidRPr="00FF3BB3">
              <w:rPr>
                <w:kern w:val="2"/>
                <w:sz w:val="21"/>
                <w:szCs w:val="21"/>
                <w:lang w:val="sr-Latn-RS"/>
                <w14:ligatures w14:val="standardContextual"/>
              </w:rPr>
              <w:t xml:space="preserve">Opštine moraju poštovati zakonsku obavezu da pregledaju opštinske akte koje je nadzorni organ </w:t>
            </w:r>
            <w:r w:rsidR="00BD462A">
              <w:rPr>
                <w:kern w:val="2"/>
                <w:sz w:val="21"/>
                <w:szCs w:val="21"/>
                <w:lang w:val="sr-Latn-RS"/>
                <w14:ligatures w14:val="standardContextual"/>
              </w:rPr>
              <w:t>pr</w:t>
            </w:r>
            <w:r w:rsidRPr="00FF3BB3">
              <w:rPr>
                <w:kern w:val="2"/>
                <w:sz w:val="21"/>
                <w:szCs w:val="21"/>
                <w:lang w:val="sr-Latn-RS"/>
                <w14:ligatures w14:val="standardContextual"/>
              </w:rPr>
              <w:t>ocenio kao nezakonite</w:t>
            </w:r>
          </w:p>
        </w:tc>
      </w:tr>
      <w:tr w:rsidR="0006116B" w:rsidRPr="00FF3BB3" w14:paraId="641C52EC" w14:textId="77777777" w:rsidTr="00FF3BB3">
        <w:trPr>
          <w:trHeight w:val="341"/>
        </w:trPr>
        <w:tc>
          <w:tcPr>
            <w:tcW w:w="889" w:type="dxa"/>
            <w:shd w:val="clear" w:color="auto" w:fill="D9E2F3"/>
          </w:tcPr>
          <w:p w14:paraId="1D442B8D" w14:textId="6B2CA03E" w:rsidR="0006116B" w:rsidRPr="00FF3BB3" w:rsidRDefault="0006116B" w:rsidP="00FF3BB3">
            <w:pPr>
              <w:spacing w:after="0" w:line="240" w:lineRule="auto"/>
              <w:rPr>
                <w:rFonts w:eastAsia="Times New Roman" w:cs="Times New Roman"/>
                <w:sz w:val="21"/>
                <w:szCs w:val="21"/>
                <w:lang w:val="sr-Latn-RS"/>
              </w:rPr>
            </w:pPr>
            <w:r w:rsidRPr="00FF3BB3">
              <w:rPr>
                <w:rFonts w:eastAsia="Times New Roman" w:cs="Times New Roman"/>
                <w:sz w:val="21"/>
                <w:szCs w:val="21"/>
                <w:lang w:val="sr-Latn-RS"/>
              </w:rPr>
              <w:t>M</w:t>
            </w:r>
            <w:r w:rsidR="00EF39A0">
              <w:rPr>
                <w:rFonts w:eastAsia="Times New Roman" w:cs="Times New Roman"/>
                <w:sz w:val="21"/>
                <w:szCs w:val="21"/>
                <w:lang w:val="sr-Latn-RS"/>
              </w:rPr>
              <w:t>U</w:t>
            </w:r>
            <w:r w:rsidRPr="00FF3BB3">
              <w:rPr>
                <w:rFonts w:eastAsia="Times New Roman" w:cs="Times New Roman"/>
                <w:sz w:val="21"/>
                <w:szCs w:val="21"/>
                <w:lang w:val="sr-Latn-RS"/>
              </w:rPr>
              <w:t>3</w:t>
            </w:r>
          </w:p>
        </w:tc>
        <w:tc>
          <w:tcPr>
            <w:tcW w:w="8574" w:type="dxa"/>
            <w:shd w:val="clear" w:color="auto" w:fill="D9E2F3"/>
            <w:vAlign w:val="center"/>
          </w:tcPr>
          <w:p w14:paraId="5B479497" w14:textId="77777777" w:rsidR="0006116B" w:rsidRPr="00FF3BB3" w:rsidRDefault="0006116B" w:rsidP="00FF3BB3">
            <w:pPr>
              <w:spacing w:after="0" w:line="240" w:lineRule="auto"/>
              <w:rPr>
                <w:rFonts w:eastAsia="Times New Roman" w:cs="Times New Roman"/>
                <w:sz w:val="21"/>
                <w:szCs w:val="21"/>
                <w:lang w:val="sr-Latn-RS"/>
              </w:rPr>
            </w:pPr>
            <w:r w:rsidRPr="00FF3BB3">
              <w:rPr>
                <w:kern w:val="2"/>
                <w:sz w:val="21"/>
                <w:szCs w:val="21"/>
                <w:lang w:val="sr-Latn-RS"/>
                <w14:ligatures w14:val="standardContextual"/>
              </w:rPr>
              <w:t>Revizorsko mišljenje treba da bude u najmanju ruku neizmenjeno sa isticanjem pitanja</w:t>
            </w:r>
          </w:p>
        </w:tc>
      </w:tr>
      <w:tr w:rsidR="0006116B" w:rsidRPr="00FF3BB3" w14:paraId="5AE81BD3" w14:textId="77777777" w:rsidTr="00FF3BB3">
        <w:trPr>
          <w:trHeight w:val="368"/>
        </w:trPr>
        <w:tc>
          <w:tcPr>
            <w:tcW w:w="889" w:type="dxa"/>
            <w:shd w:val="clear" w:color="auto" w:fill="D9E2F3"/>
          </w:tcPr>
          <w:p w14:paraId="2DA6216B" w14:textId="42D5F13E" w:rsidR="0006116B" w:rsidRPr="00FF3BB3" w:rsidRDefault="0006116B" w:rsidP="00FF3BB3">
            <w:pPr>
              <w:spacing w:after="0" w:line="240" w:lineRule="auto"/>
              <w:rPr>
                <w:rFonts w:eastAsia="Times New Roman" w:cs="Times New Roman"/>
                <w:sz w:val="21"/>
                <w:szCs w:val="21"/>
                <w:lang w:val="sr-Latn-RS"/>
              </w:rPr>
            </w:pPr>
            <w:r w:rsidRPr="00FF3BB3">
              <w:rPr>
                <w:rFonts w:eastAsia="Times New Roman" w:cs="Times New Roman"/>
                <w:sz w:val="21"/>
                <w:szCs w:val="21"/>
                <w:lang w:val="sr-Latn-RS"/>
              </w:rPr>
              <w:t>M</w:t>
            </w:r>
            <w:r w:rsidR="00EF39A0">
              <w:rPr>
                <w:rFonts w:eastAsia="Times New Roman" w:cs="Times New Roman"/>
                <w:sz w:val="21"/>
                <w:szCs w:val="21"/>
                <w:lang w:val="sr-Latn-RS"/>
              </w:rPr>
              <w:t>U</w:t>
            </w:r>
            <w:r w:rsidRPr="00FF3BB3">
              <w:rPr>
                <w:rFonts w:eastAsia="Times New Roman" w:cs="Times New Roman"/>
                <w:sz w:val="21"/>
                <w:szCs w:val="21"/>
                <w:lang w:val="sr-Latn-RS"/>
              </w:rPr>
              <w:t>4</w:t>
            </w:r>
          </w:p>
        </w:tc>
        <w:tc>
          <w:tcPr>
            <w:tcW w:w="8574" w:type="dxa"/>
            <w:shd w:val="clear" w:color="auto" w:fill="D9E2F3"/>
            <w:vAlign w:val="center"/>
          </w:tcPr>
          <w:p w14:paraId="595CDF1C" w14:textId="77777777" w:rsidR="0006116B" w:rsidRPr="00FF3BB3" w:rsidRDefault="0006116B" w:rsidP="00FF3BB3">
            <w:pPr>
              <w:spacing w:after="0" w:line="240" w:lineRule="auto"/>
              <w:rPr>
                <w:rFonts w:eastAsia="Times New Roman" w:cs="Times New Roman"/>
                <w:sz w:val="21"/>
                <w:szCs w:val="21"/>
                <w:lang w:val="sr-Latn-RS"/>
              </w:rPr>
            </w:pPr>
            <w:r w:rsidRPr="00FF3BB3">
              <w:rPr>
                <w:kern w:val="2"/>
                <w:sz w:val="21"/>
                <w:szCs w:val="21"/>
                <w:lang w:val="sr-Latn-RS"/>
                <w14:ligatures w14:val="standardContextual"/>
              </w:rPr>
              <w:t>Opštine moraju potrošiti 75% ili više završnog budžeta na kapitalne investicije</w:t>
            </w:r>
          </w:p>
        </w:tc>
      </w:tr>
    </w:tbl>
    <w:p w14:paraId="158041A6"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p>
    <w:p w14:paraId="0CB592DF" w14:textId="77777777" w:rsidR="00BD462A" w:rsidRDefault="00BD462A"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p>
    <w:p w14:paraId="74634888" w14:textId="777F16E5" w:rsidR="0006116B" w:rsidRPr="00FF3BB3" w:rsidRDefault="00BD462A"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Pr>
          <w:color w:val="0E2841" w:themeColor="text2"/>
          <w:kern w:val="2"/>
          <w:lang w:val="sr-Latn-RS"/>
          <w14:ligatures w14:val="standardContextual"/>
        </w:rPr>
        <w:t>Grant za opštinski učinak (GOU</w:t>
      </w:r>
      <w:r w:rsidR="0006116B" w:rsidRPr="00FF3BB3">
        <w:rPr>
          <w:color w:val="0E2841" w:themeColor="text2"/>
          <w:kern w:val="2"/>
          <w:lang w:val="sr-Latn-RS"/>
          <w14:ligatures w14:val="standardContextual"/>
        </w:rPr>
        <w:t>) za fiskalnu 202</w:t>
      </w:r>
      <w:r w:rsidR="001A2494">
        <w:rPr>
          <w:color w:val="0E2841" w:themeColor="text2"/>
          <w:kern w:val="2"/>
          <w:lang w:val="sr-Latn-RS"/>
          <w14:ligatures w14:val="standardContextual"/>
        </w:rPr>
        <w:t>6</w:t>
      </w:r>
      <w:r w:rsidR="0006116B" w:rsidRPr="00FF3BB3">
        <w:rPr>
          <w:color w:val="0E2841" w:themeColor="text2"/>
          <w:kern w:val="2"/>
          <w:lang w:val="sr-Latn-RS"/>
          <w14:ligatures w14:val="standardContextual"/>
        </w:rPr>
        <w:t xml:space="preserve">. godinu biće dodeljen opštinama u skladu sa postignutim </w:t>
      </w:r>
      <w:r>
        <w:rPr>
          <w:color w:val="0E2841" w:themeColor="text2"/>
          <w:kern w:val="2"/>
          <w:lang w:val="sr-Latn-RS"/>
          <w14:ligatures w14:val="standardContextual"/>
        </w:rPr>
        <w:t xml:space="preserve">bodovima </w:t>
      </w:r>
      <w:r w:rsidR="0006116B" w:rsidRPr="00FF3BB3">
        <w:rPr>
          <w:color w:val="0E2841" w:themeColor="text2"/>
          <w:kern w:val="2"/>
          <w:lang w:val="sr-Latn-RS"/>
          <w14:ligatures w14:val="standardContextual"/>
        </w:rPr>
        <w:t xml:space="preserve">u opštinskom učinku na osnovu </w:t>
      </w:r>
      <w:r>
        <w:rPr>
          <w:color w:val="0E2841" w:themeColor="text2"/>
          <w:kern w:val="2"/>
          <w:lang w:val="sr-Latn-RS"/>
          <w14:ligatures w14:val="standardContextual"/>
        </w:rPr>
        <w:t xml:space="preserve">pokazatelja </w:t>
      </w:r>
      <w:r w:rsidR="0006116B" w:rsidRPr="00FF3BB3">
        <w:rPr>
          <w:color w:val="0E2841" w:themeColor="text2"/>
          <w:kern w:val="2"/>
          <w:lang w:val="sr-Latn-RS"/>
          <w14:ligatures w14:val="standardContextual"/>
        </w:rPr>
        <w:t>u tri glavne oblasti: (i) demokratsko upravljanje, (i</w:t>
      </w:r>
      <w:r>
        <w:rPr>
          <w:color w:val="0E2841" w:themeColor="text2"/>
          <w:kern w:val="2"/>
          <w:lang w:val="sr-Latn-RS"/>
          <w14:ligatures w14:val="standardContextual"/>
        </w:rPr>
        <w:t>i</w:t>
      </w:r>
      <w:r w:rsidR="0006116B" w:rsidRPr="00FF3BB3">
        <w:rPr>
          <w:color w:val="0E2841" w:themeColor="text2"/>
          <w:kern w:val="2"/>
          <w:lang w:val="sr-Latn-RS"/>
          <w14:ligatures w14:val="standardContextual"/>
        </w:rPr>
        <w:t>) opštinsko upravljanje i (iii) pružanje usluga. Ove oblasti su dalje podeljene na deset pod</w:t>
      </w:r>
      <w:r w:rsidR="00985354">
        <w:rPr>
          <w:color w:val="0E2841" w:themeColor="text2"/>
          <w:kern w:val="2"/>
          <w:lang w:val="sr-Latn-RS"/>
          <w14:ligatures w14:val="standardContextual"/>
        </w:rPr>
        <w:t>-</w:t>
      </w:r>
      <w:r w:rsidR="0006116B" w:rsidRPr="00FF3BB3">
        <w:rPr>
          <w:color w:val="0E2841" w:themeColor="text2"/>
          <w:kern w:val="2"/>
          <w:lang w:val="sr-Latn-RS"/>
          <w14:ligatures w14:val="standardContextual"/>
        </w:rPr>
        <w:t xml:space="preserve">oblasti kao što je </w:t>
      </w:r>
      <w:r w:rsidR="0006116B" w:rsidRPr="00FF3BB3">
        <w:rPr>
          <w:color w:val="0E2841" w:themeColor="text2"/>
          <w:kern w:val="2"/>
          <w:lang w:val="sr-Latn-RS"/>
          <w14:ligatures w14:val="standardContextual"/>
        </w:rPr>
        <w:lastRenderedPageBreak/>
        <w:t>prikazano u tabeli 2. U</w:t>
      </w:r>
      <w:r>
        <w:rPr>
          <w:color w:val="0E2841" w:themeColor="text2"/>
          <w:kern w:val="2"/>
          <w:lang w:val="sr-Latn-RS"/>
          <w14:ligatures w14:val="standardContextual"/>
        </w:rPr>
        <w:t xml:space="preserve"> okviru </w:t>
      </w:r>
      <w:r w:rsidR="0006116B" w:rsidRPr="00FF3BB3">
        <w:rPr>
          <w:color w:val="0E2841" w:themeColor="text2"/>
          <w:kern w:val="2"/>
          <w:lang w:val="sr-Latn-RS"/>
          <w14:ligatures w14:val="standardContextual"/>
        </w:rPr>
        <w:t>ovih deset pod</w:t>
      </w:r>
      <w:r w:rsidR="00985354">
        <w:rPr>
          <w:color w:val="0E2841" w:themeColor="text2"/>
          <w:kern w:val="2"/>
          <w:lang w:val="sr-Latn-RS"/>
          <w14:ligatures w14:val="standardContextual"/>
        </w:rPr>
        <w:t>-</w:t>
      </w:r>
      <w:r w:rsidR="0006116B" w:rsidRPr="00FF3BB3">
        <w:rPr>
          <w:color w:val="0E2841" w:themeColor="text2"/>
          <w:kern w:val="2"/>
          <w:lang w:val="sr-Latn-RS"/>
          <w14:ligatures w14:val="standardContextual"/>
        </w:rPr>
        <w:t xml:space="preserve">oblasti, </w:t>
      </w:r>
      <w:r>
        <w:rPr>
          <w:color w:val="0E2841" w:themeColor="text2"/>
          <w:kern w:val="2"/>
          <w:lang w:val="sr-Latn-RS"/>
          <w14:ligatures w14:val="standardContextual"/>
        </w:rPr>
        <w:t>navedeni</w:t>
      </w:r>
      <w:r w:rsidR="0006116B" w:rsidRPr="00FF3BB3">
        <w:rPr>
          <w:color w:val="0E2841" w:themeColor="text2"/>
          <w:kern w:val="2"/>
          <w:lang w:val="sr-Latn-RS"/>
          <w14:ligatures w14:val="standardContextual"/>
        </w:rPr>
        <w:t xml:space="preserve"> </w:t>
      </w:r>
      <w:r>
        <w:rPr>
          <w:color w:val="0E2841" w:themeColor="text2"/>
          <w:kern w:val="2"/>
          <w:lang w:val="sr-Latn-RS"/>
          <w14:ligatures w14:val="standardContextual"/>
        </w:rPr>
        <w:t>su</w:t>
      </w:r>
      <w:r w:rsidR="0006116B" w:rsidRPr="00FF3BB3">
        <w:rPr>
          <w:color w:val="0E2841" w:themeColor="text2"/>
          <w:kern w:val="2"/>
          <w:lang w:val="sr-Latn-RS"/>
          <w14:ligatures w14:val="standardContextual"/>
        </w:rPr>
        <w:t xml:space="preserve"> 30 </w:t>
      </w:r>
      <w:r>
        <w:rPr>
          <w:color w:val="0E2841" w:themeColor="text2"/>
          <w:kern w:val="2"/>
          <w:lang w:val="sr-Latn-RS"/>
          <w14:ligatures w14:val="standardContextual"/>
        </w:rPr>
        <w:t>pokazatelja učinka</w:t>
      </w:r>
      <w:r w:rsidR="0006116B" w:rsidRPr="00FF3BB3">
        <w:rPr>
          <w:color w:val="0E2841" w:themeColor="text2"/>
          <w:kern w:val="2"/>
          <w:lang w:val="sr-Latn-RS"/>
          <w14:ligatures w14:val="standardContextual"/>
        </w:rPr>
        <w:t xml:space="preserve">, međutim za </w:t>
      </w:r>
      <w:r w:rsidR="00CA2E28">
        <w:rPr>
          <w:color w:val="0E2841" w:themeColor="text2"/>
          <w:kern w:val="2"/>
          <w:lang w:val="sr-Latn-RS"/>
          <w14:ligatures w14:val="standardContextual"/>
        </w:rPr>
        <w:t>GOU</w:t>
      </w:r>
      <w:r w:rsidR="0006116B" w:rsidRPr="00FF3BB3">
        <w:rPr>
          <w:color w:val="0E2841" w:themeColor="text2"/>
          <w:kern w:val="2"/>
          <w:lang w:val="sr-Latn-RS"/>
          <w14:ligatures w14:val="standardContextual"/>
        </w:rPr>
        <w:t xml:space="preserve"> koji će biti dati u fiskalnoj 2025. godini, na osnovu opštinskog učinka za </w:t>
      </w:r>
      <w:r w:rsidR="00F41E1B">
        <w:rPr>
          <w:color w:val="0E2841" w:themeColor="text2"/>
          <w:kern w:val="2"/>
          <w:lang w:val="sr-Latn-RS"/>
          <w14:ligatures w14:val="standardContextual"/>
        </w:rPr>
        <w:t>2024</w:t>
      </w:r>
      <w:r w:rsidR="0006116B" w:rsidRPr="00FF3BB3">
        <w:rPr>
          <w:color w:val="0E2841" w:themeColor="text2"/>
          <w:kern w:val="2"/>
          <w:lang w:val="sr-Latn-RS"/>
          <w14:ligatures w14:val="standardContextual"/>
        </w:rPr>
        <w:t xml:space="preserve">. godinu biće </w:t>
      </w:r>
      <w:r>
        <w:rPr>
          <w:color w:val="0E2841" w:themeColor="text2"/>
          <w:kern w:val="2"/>
          <w:lang w:val="sr-Latn-RS"/>
          <w14:ligatures w14:val="standardContextual"/>
        </w:rPr>
        <w:t>pr</w:t>
      </w:r>
      <w:r w:rsidR="0006116B" w:rsidRPr="00FF3BB3">
        <w:rPr>
          <w:color w:val="0E2841" w:themeColor="text2"/>
          <w:kern w:val="2"/>
          <w:lang w:val="sr-Latn-RS"/>
          <w14:ligatures w14:val="standardContextual"/>
        </w:rPr>
        <w:t xml:space="preserve">ocenjeno 27 </w:t>
      </w:r>
      <w:r>
        <w:rPr>
          <w:color w:val="0E2841" w:themeColor="text2"/>
          <w:kern w:val="2"/>
          <w:lang w:val="sr-Latn-RS"/>
          <w14:ligatures w14:val="standardContextual"/>
        </w:rPr>
        <w:t xml:space="preserve">pokazatelja </w:t>
      </w:r>
      <w:bookmarkStart w:id="7" w:name="_Hlk99103168"/>
      <w:bookmarkEnd w:id="7"/>
      <w:r w:rsidR="0006116B" w:rsidRPr="00FF3BB3">
        <w:rPr>
          <w:color w:val="0E2841" w:themeColor="text2"/>
          <w:kern w:val="2"/>
          <w:lang w:val="sr-Latn-RS"/>
          <w14:ligatures w14:val="standardContextual"/>
        </w:rPr>
        <w:t>sa ukupnim brojem bodova od 90 bodova.</w:t>
      </w:r>
    </w:p>
    <w:p w14:paraId="1FE27156" w14:textId="25D80422" w:rsidR="0006116B" w:rsidRPr="00FF3BB3" w:rsidRDefault="001A2494"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Pr>
          <w:noProof/>
          <w:lang w:val="en-GB" w:eastAsia="en-GB"/>
        </w:rPr>
        <mc:AlternateContent>
          <mc:Choice Requires="wps">
            <w:drawing>
              <wp:anchor distT="0" distB="0" distL="114300" distR="114300" simplePos="0" relativeHeight="251800576" behindDoc="0" locked="0" layoutInCell="1" allowOverlap="1" wp14:anchorId="3E54F6BD" wp14:editId="2D4C10DF">
                <wp:simplePos x="0" y="0"/>
                <wp:positionH relativeFrom="column">
                  <wp:posOffset>0</wp:posOffset>
                </wp:positionH>
                <wp:positionV relativeFrom="paragraph">
                  <wp:posOffset>140970</wp:posOffset>
                </wp:positionV>
                <wp:extent cx="5981065" cy="600075"/>
                <wp:effectExtent l="0" t="0" r="635" b="9525"/>
                <wp:wrapNone/>
                <wp:docPr id="17" name="Textbox 17"/>
                <wp:cNvGraphicFramePr/>
                <a:graphic xmlns:a="http://schemas.openxmlformats.org/drawingml/2006/main">
                  <a:graphicData uri="http://schemas.microsoft.com/office/word/2010/wordprocessingShape">
                    <wps:wsp>
                      <wps:cNvSpPr txBox="1"/>
                      <wps:spPr>
                        <a:xfrm>
                          <a:off x="0" y="0"/>
                          <a:ext cx="5981065" cy="600075"/>
                        </a:xfrm>
                        <a:prstGeom prst="rect">
                          <a:avLst/>
                        </a:prstGeom>
                        <a:solidFill>
                          <a:srgbClr val="FFFFFF"/>
                        </a:solidFill>
                      </wps:spPr>
                      <wps:txbx>
                        <w:txbxContent>
                          <w:p w14:paraId="73584B35" w14:textId="77777777" w:rsidR="00816331" w:rsidRPr="004D0B84" w:rsidRDefault="00816331" w:rsidP="001A2494">
                            <w:pPr>
                              <w:shd w:val="clear" w:color="auto" w:fill="124F1A" w:themeFill="accent3" w:themeFillShade="BF"/>
                              <w:spacing w:line="290" w:lineRule="auto"/>
                              <w:ind w:left="28" w:right="23"/>
                              <w:jc w:val="center"/>
                              <w:rPr>
                                <w:color w:val="FFFFFF" w:themeColor="background1"/>
                              </w:rPr>
                            </w:pPr>
                            <w:r w:rsidRPr="004D0B84">
                              <w:rPr>
                                <w:color w:val="FFFFFF" w:themeColor="background1"/>
                              </w:rPr>
                              <w:t>Pokazatelj br. 16b neće se meriti, s obzirom na to da ovaj pokazatelj nije meren u SMPK-u za učinak u 2024. godini</w:t>
                            </w:r>
                          </w:p>
                        </w:txbxContent>
                      </wps:txbx>
                      <wps:bodyPr wrap="square" lIns="0" tIns="0" rIns="0" bIns="0" rtlCol="0">
                        <a:noAutofit/>
                      </wps:bodyPr>
                    </wps:wsp>
                  </a:graphicData>
                </a:graphic>
                <wp14:sizeRelV relativeFrom="margin">
                  <wp14:pctHeight>0</wp14:pctHeight>
                </wp14:sizeRelV>
              </wp:anchor>
            </w:drawing>
          </mc:Choice>
          <mc:Fallback>
            <w:pict>
              <v:shapetype w14:anchorId="3E54F6BD" id="_x0000_t202" coordsize="21600,21600" o:spt="202" path="m,l,21600r21600,l21600,xe">
                <v:stroke joinstyle="miter"/>
                <v:path gradientshapeok="t" o:connecttype="rect"/>
              </v:shapetype>
              <v:shape id="Textbox 17" o:spid="_x0000_s1026" type="#_x0000_t202" style="position:absolute;left:0;text-align:left;margin-left:0;margin-top:11.1pt;width:470.95pt;height:47.2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V0uAEAAFwDAAAOAAAAZHJzL2Uyb0RvYy54bWysU9tu2zAMfR+wfxD0vtgpkLQz4hRbiwwD&#10;hm1Auw+QZSkWIIkapcTO349S4rRY34b5Qebl+IiHpDf3k7PsqDAa8C1fLmrOlJfQG79v+a/n3Yc7&#10;zmISvhcWvGr5SUV+v33/bjOGRt3AALZXyIjEx2YMLR9SCk1VRTkoJ+ICgvKU1IBOJHJxX/UoRmJ3&#10;trqp63U1AvYBQaoYKfp4TvJt4ddayfRD66gSsy2n2lI5sZxdPqvtRjR7FGEw8lKG+IcqnDCeLr1S&#10;PYok2AHNGypnJEIEnRYSXAVaG6mKBlKzrP9S8zSIoIoWak4M1zbF/0crvx9/IjM9ze6WMy8czehZ&#10;TamDiVGE2jOG2BDqKRAuTZ9hIugcjxTMqieNLr9JD6M8Nfp0bS6RMUnB1ce7Zb1ecSYpt67r+naV&#10;aaqXrwPG9EWBY9loOdLwSk/F8VtMZ+gMyZdFsKbfGWuLg/vuwSI7Chr0rjwX9lewKms515ytNHXT&#10;RWAH/Yn0jbQILY+/DwIVZ/arp07nrZkNnI1uNjDZByi7lavw8OmQQJtSbb7izEsqs0MjLHov65Z3&#10;5LVfUC8/xfYPAAAA//8DAFBLAwQUAAYACAAAACEAsHAdwd0AAAAHAQAADwAAAGRycy9kb3ducmV2&#10;LnhtbEyPwU7DMBBE70j8g7VIXBB1EqFAQ5wKWrjRQ0vV8zZekoh4HdlOk/495gTH0Yxm3pSr2fTi&#10;TM53lhWkiwQEcW11x42Cw+f7/RMIH5A19pZJwYU8rKrrqxILbSfe0XkfGhFL2BeooA1hKKT0dUsG&#10;/cIOxNH7ss5giNI1UjucYrnpZZYkuTTYcVxocaB1S/X3fjQK8o0bpx2v7zaHtw/cDk12fL0clbq9&#10;mV+eQQSaw18YfvEjOlSR6WRH1l70CuKRoCDLMhDRXT6kSxCnGEvzR5BVKf/zVz8AAAD//wMAUEsB&#10;Ai0AFAAGAAgAAAAhALaDOJL+AAAA4QEAABMAAAAAAAAAAAAAAAAAAAAAAFtDb250ZW50X1R5cGVz&#10;XS54bWxQSwECLQAUAAYACAAAACEAOP0h/9YAAACUAQAACwAAAAAAAAAAAAAAAAAvAQAAX3JlbHMv&#10;LnJlbHNQSwECLQAUAAYACAAAACEAbJ5VdLgBAABcAwAADgAAAAAAAAAAAAAAAAAuAgAAZHJzL2Uy&#10;b0RvYy54bWxQSwECLQAUAAYACAAAACEAsHAdwd0AAAAHAQAADwAAAAAAAAAAAAAAAAASBAAAZHJz&#10;L2Rvd25yZXYueG1sUEsFBgAAAAAEAAQA8wAAABwFAAAAAA==&#10;" stroked="f">
                <v:textbox inset="0,0,0,0">
                  <w:txbxContent>
                    <w:p w14:paraId="73584B35" w14:textId="77777777" w:rsidR="00816331" w:rsidRPr="004D0B84" w:rsidRDefault="00816331" w:rsidP="001A2494">
                      <w:pPr>
                        <w:shd w:val="clear" w:color="auto" w:fill="124F1A" w:themeFill="accent3" w:themeFillShade="BF"/>
                        <w:spacing w:line="290" w:lineRule="auto"/>
                        <w:ind w:left="28" w:right="23"/>
                        <w:jc w:val="center"/>
                        <w:rPr>
                          <w:color w:val="FFFFFF" w:themeColor="background1"/>
                        </w:rPr>
                      </w:pPr>
                      <w:r w:rsidRPr="004D0B84">
                        <w:rPr>
                          <w:color w:val="FFFFFF" w:themeColor="background1"/>
                        </w:rPr>
                        <w:t>Pokazatelj br. 16b neće se meriti, s obzirom na to da ovaj pokazatelj nije meren u SMPK-u za učinak u 2024. godini</w:t>
                      </w:r>
                    </w:p>
                  </w:txbxContent>
                </v:textbox>
              </v:shape>
            </w:pict>
          </mc:Fallback>
        </mc:AlternateContent>
      </w:r>
    </w:p>
    <w:p w14:paraId="4D22A152"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p>
    <w:p w14:paraId="44939FA7" w14:textId="77777777"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p>
    <w:p w14:paraId="28F04958" w14:textId="77777777" w:rsidR="0006116B" w:rsidRPr="00FF3BB3" w:rsidRDefault="0006116B" w:rsidP="00FF3BB3">
      <w:pPr>
        <w:rPr>
          <w:lang w:val="sr-Latn-RS"/>
        </w:rPr>
      </w:pPr>
    </w:p>
    <w:p w14:paraId="253A8046" w14:textId="20C2C1D8" w:rsidR="0006116B" w:rsidRDefault="0006116B" w:rsidP="00FF3BB3">
      <w:pPr>
        <w:pStyle w:val="Caption"/>
        <w:keepNext/>
        <w:rPr>
          <w:lang w:val="sr-Latn-RS"/>
        </w:rPr>
      </w:pPr>
      <w:r w:rsidRPr="00FF3BB3">
        <w:rPr>
          <w:lang w:val="sr-Latn-RS"/>
        </w:rPr>
        <w:t xml:space="preserve">Tabela </w:t>
      </w:r>
      <w:r w:rsidR="00C274C4" w:rsidRPr="00FF3BB3">
        <w:rPr>
          <w:noProof/>
          <w:lang w:val="sr-Latn-RS"/>
        </w:rPr>
        <w:fldChar w:fldCharType="begin"/>
      </w:r>
      <w:r w:rsidR="00C274C4" w:rsidRPr="00FF3BB3">
        <w:rPr>
          <w:noProof/>
          <w:lang w:val="sr-Latn-RS"/>
        </w:rPr>
        <w:instrText xml:space="preserve"> SEQ Table \* ARABIC </w:instrText>
      </w:r>
      <w:r w:rsidR="00C274C4" w:rsidRPr="00FF3BB3">
        <w:rPr>
          <w:noProof/>
          <w:lang w:val="sr-Latn-RS"/>
        </w:rPr>
        <w:fldChar w:fldCharType="separate"/>
      </w:r>
      <w:r w:rsidR="005A6260">
        <w:rPr>
          <w:noProof/>
          <w:lang w:val="sr-Latn-RS"/>
        </w:rPr>
        <w:t>2</w:t>
      </w:r>
      <w:r w:rsidR="00C274C4" w:rsidRPr="00FF3BB3">
        <w:rPr>
          <w:noProof/>
          <w:lang w:val="sr-Latn-RS"/>
        </w:rPr>
        <w:fldChar w:fldCharType="end"/>
      </w:r>
      <w:r w:rsidR="001B1F0E">
        <w:rPr>
          <w:noProof/>
          <w:lang w:val="sr-Latn-RS"/>
        </w:rPr>
        <w:t xml:space="preserve"> </w:t>
      </w:r>
      <w:r w:rsidRPr="00FF3BB3">
        <w:rPr>
          <w:lang w:val="sr-Latn-RS"/>
        </w:rPr>
        <w:t xml:space="preserve">Tri </w:t>
      </w:r>
      <w:r w:rsidR="000701B5">
        <w:rPr>
          <w:lang w:val="sr-Latn-RS"/>
        </w:rPr>
        <w:t>ključne</w:t>
      </w:r>
      <w:r w:rsidRPr="00FF3BB3">
        <w:rPr>
          <w:lang w:val="sr-Latn-RS"/>
        </w:rPr>
        <w:t xml:space="preserve"> oblasti i deset pod</w:t>
      </w:r>
      <w:r w:rsidR="00985354">
        <w:rPr>
          <w:lang w:val="sr-Latn-RS"/>
        </w:rPr>
        <w:t>-</w:t>
      </w:r>
      <w:r w:rsidRPr="00FF3BB3">
        <w:rPr>
          <w:lang w:val="sr-Latn-RS"/>
        </w:rPr>
        <w:t xml:space="preserve">oblasti sa </w:t>
      </w:r>
      <w:r w:rsidR="000701B5">
        <w:rPr>
          <w:lang w:val="sr-Latn-RS"/>
        </w:rPr>
        <w:t xml:space="preserve">najvećim </w:t>
      </w:r>
      <w:r w:rsidRPr="00FF3BB3">
        <w:rPr>
          <w:lang w:val="sr-Latn-RS"/>
        </w:rPr>
        <w:t>brojem bodova za grant koji će biti dodeljen u fiskalnoj 2025. godini</w:t>
      </w:r>
      <w:r w:rsidR="000701B5">
        <w:rPr>
          <w:lang w:val="sr-Latn-RS"/>
        </w:rPr>
        <w:t>.</w:t>
      </w:r>
    </w:p>
    <w:tbl>
      <w:tblPr>
        <w:tblW w:w="9800" w:type="dxa"/>
        <w:tblLook w:val="04A0" w:firstRow="1" w:lastRow="0" w:firstColumn="1" w:lastColumn="0" w:noHBand="0" w:noVBand="1"/>
      </w:tblPr>
      <w:tblGrid>
        <w:gridCol w:w="710"/>
        <w:gridCol w:w="6390"/>
        <w:gridCol w:w="1333"/>
        <w:gridCol w:w="1367"/>
      </w:tblGrid>
      <w:tr w:rsidR="009C17E3" w:rsidRPr="0023162C" w14:paraId="00144A4E" w14:textId="77777777" w:rsidTr="0023162C">
        <w:trPr>
          <w:trHeight w:val="943"/>
        </w:trPr>
        <w:tc>
          <w:tcPr>
            <w:tcW w:w="710" w:type="dxa"/>
            <w:tcBorders>
              <w:top w:val="single" w:sz="8" w:space="0" w:color="auto"/>
              <w:left w:val="single" w:sz="8" w:space="0" w:color="auto"/>
              <w:bottom w:val="single" w:sz="8" w:space="0" w:color="auto"/>
              <w:right w:val="single" w:sz="8" w:space="0" w:color="auto"/>
            </w:tcBorders>
            <w:shd w:val="clear" w:color="000000" w:fill="4472C4"/>
            <w:noWrap/>
            <w:vAlign w:val="center"/>
            <w:hideMark/>
          </w:tcPr>
          <w:p w14:paraId="1EF55CEC"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w:t>
            </w:r>
          </w:p>
        </w:tc>
        <w:tc>
          <w:tcPr>
            <w:tcW w:w="6390" w:type="dxa"/>
            <w:tcBorders>
              <w:top w:val="single" w:sz="8" w:space="0" w:color="auto"/>
              <w:left w:val="nil"/>
              <w:bottom w:val="single" w:sz="8" w:space="0" w:color="auto"/>
              <w:right w:val="single" w:sz="8" w:space="0" w:color="auto"/>
            </w:tcBorders>
            <w:shd w:val="clear" w:color="000000" w:fill="4472C4"/>
            <w:noWrap/>
            <w:vAlign w:val="center"/>
            <w:hideMark/>
          </w:tcPr>
          <w:p w14:paraId="45FA9988"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Polja, potpolja i indikatori</w:t>
            </w:r>
          </w:p>
        </w:tc>
        <w:tc>
          <w:tcPr>
            <w:tcW w:w="1333" w:type="dxa"/>
            <w:tcBorders>
              <w:top w:val="single" w:sz="8" w:space="0" w:color="auto"/>
              <w:left w:val="nil"/>
              <w:bottom w:val="single" w:sz="8" w:space="0" w:color="auto"/>
              <w:right w:val="single" w:sz="8" w:space="0" w:color="auto"/>
            </w:tcBorders>
            <w:shd w:val="clear" w:color="000000" w:fill="4472C4"/>
            <w:vAlign w:val="center"/>
            <w:hideMark/>
          </w:tcPr>
          <w:p w14:paraId="39E0E168" w14:textId="77777777" w:rsidR="009C17E3" w:rsidRPr="0023162C" w:rsidRDefault="009C17E3" w:rsidP="009C17E3">
            <w:pPr>
              <w:spacing w:after="0" w:line="240" w:lineRule="auto"/>
              <w:jc w:val="center"/>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 xml:space="preserve"># maksimalnih poena </w:t>
            </w:r>
          </w:p>
        </w:tc>
        <w:tc>
          <w:tcPr>
            <w:tcW w:w="1367" w:type="dxa"/>
            <w:tcBorders>
              <w:top w:val="single" w:sz="8" w:space="0" w:color="auto"/>
              <w:left w:val="nil"/>
              <w:bottom w:val="single" w:sz="8" w:space="0" w:color="auto"/>
              <w:right w:val="single" w:sz="8" w:space="0" w:color="auto"/>
            </w:tcBorders>
            <w:shd w:val="clear" w:color="000000" w:fill="4472C4"/>
            <w:vAlign w:val="center"/>
            <w:hideMark/>
          </w:tcPr>
          <w:p w14:paraId="033414F2" w14:textId="0457F193"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 poena koji će biti ocenjeni u MPG 202</w:t>
            </w:r>
            <w:r w:rsidR="001A2494">
              <w:rPr>
                <w:rFonts w:ascii="Aptos" w:eastAsia="Times New Roman" w:hAnsi="Aptos" w:cs="Times New Roman"/>
                <w:noProof/>
                <w:color w:val="FFFFFF"/>
                <w:sz w:val="20"/>
                <w:szCs w:val="20"/>
                <w:lang w:val="sr-Latn-RS"/>
              </w:rPr>
              <w:t>6</w:t>
            </w:r>
          </w:p>
        </w:tc>
      </w:tr>
      <w:tr w:rsidR="009C17E3" w:rsidRPr="0023162C" w14:paraId="306B9DAC" w14:textId="77777777" w:rsidTr="0023162C">
        <w:trPr>
          <w:trHeight w:val="498"/>
        </w:trPr>
        <w:tc>
          <w:tcPr>
            <w:tcW w:w="7100" w:type="dxa"/>
            <w:gridSpan w:val="2"/>
            <w:tcBorders>
              <w:top w:val="single" w:sz="8" w:space="0" w:color="auto"/>
              <w:left w:val="single" w:sz="8" w:space="0" w:color="auto"/>
              <w:bottom w:val="single" w:sz="8" w:space="0" w:color="auto"/>
              <w:right w:val="single" w:sz="8" w:space="0" w:color="000000"/>
            </w:tcBorders>
            <w:shd w:val="clear" w:color="000000" w:fill="4472C4"/>
            <w:vAlign w:val="center"/>
            <w:hideMark/>
          </w:tcPr>
          <w:p w14:paraId="25734345"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OPŠTINSKA UPRAVA - Uloga Skupštine opštine, učešće i uključivanje građana, transparentnost i odgovornost</w:t>
            </w:r>
          </w:p>
        </w:tc>
        <w:tc>
          <w:tcPr>
            <w:tcW w:w="1333" w:type="dxa"/>
            <w:tcBorders>
              <w:top w:val="nil"/>
              <w:left w:val="nil"/>
              <w:bottom w:val="single" w:sz="8" w:space="0" w:color="auto"/>
              <w:right w:val="single" w:sz="8" w:space="0" w:color="auto"/>
            </w:tcBorders>
            <w:shd w:val="clear" w:color="000000" w:fill="4472C4"/>
            <w:noWrap/>
            <w:vAlign w:val="center"/>
            <w:hideMark/>
          </w:tcPr>
          <w:p w14:paraId="51E869A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40</w:t>
            </w:r>
          </w:p>
        </w:tc>
        <w:tc>
          <w:tcPr>
            <w:tcW w:w="1367" w:type="dxa"/>
            <w:tcBorders>
              <w:top w:val="nil"/>
              <w:left w:val="nil"/>
              <w:bottom w:val="single" w:sz="8" w:space="0" w:color="auto"/>
              <w:right w:val="single" w:sz="8" w:space="0" w:color="auto"/>
            </w:tcBorders>
            <w:shd w:val="clear" w:color="000000" w:fill="4472C4"/>
            <w:vAlign w:val="center"/>
            <w:hideMark/>
          </w:tcPr>
          <w:p w14:paraId="5C291DDD" w14:textId="6E82F33F"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40</w:t>
            </w:r>
          </w:p>
        </w:tc>
      </w:tr>
      <w:tr w:rsidR="009C17E3" w:rsidRPr="0023162C" w14:paraId="47A792FC" w14:textId="77777777" w:rsidTr="0023162C">
        <w:trPr>
          <w:trHeight w:val="241"/>
        </w:trPr>
        <w:tc>
          <w:tcPr>
            <w:tcW w:w="710" w:type="dxa"/>
            <w:tcBorders>
              <w:top w:val="nil"/>
              <w:left w:val="single" w:sz="8" w:space="0" w:color="auto"/>
              <w:bottom w:val="single" w:sz="8" w:space="0" w:color="auto"/>
              <w:right w:val="single" w:sz="8" w:space="0" w:color="auto"/>
            </w:tcBorders>
            <w:shd w:val="clear" w:color="000000" w:fill="5B9BD5"/>
            <w:noWrap/>
            <w:vAlign w:val="center"/>
            <w:hideMark/>
          </w:tcPr>
          <w:p w14:paraId="2B8CA906"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I</w:t>
            </w:r>
          </w:p>
        </w:tc>
        <w:tc>
          <w:tcPr>
            <w:tcW w:w="6390" w:type="dxa"/>
            <w:tcBorders>
              <w:top w:val="nil"/>
              <w:left w:val="nil"/>
              <w:bottom w:val="single" w:sz="8" w:space="0" w:color="auto"/>
              <w:right w:val="single" w:sz="8" w:space="0" w:color="auto"/>
            </w:tcBorders>
            <w:shd w:val="clear" w:color="000000" w:fill="5B9BD5"/>
            <w:noWrap/>
            <w:vAlign w:val="center"/>
            <w:hideMark/>
          </w:tcPr>
          <w:p w14:paraId="4E3D2757"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Uloga skupštine opštine kao nadzornog tela</w:t>
            </w:r>
          </w:p>
        </w:tc>
        <w:tc>
          <w:tcPr>
            <w:tcW w:w="1333" w:type="dxa"/>
            <w:tcBorders>
              <w:top w:val="nil"/>
              <w:left w:val="nil"/>
              <w:bottom w:val="single" w:sz="8" w:space="0" w:color="auto"/>
              <w:right w:val="single" w:sz="8" w:space="0" w:color="auto"/>
            </w:tcBorders>
            <w:shd w:val="clear" w:color="000000" w:fill="5B9BD5"/>
            <w:noWrap/>
            <w:vAlign w:val="center"/>
            <w:hideMark/>
          </w:tcPr>
          <w:p w14:paraId="1B1B1E7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12</w:t>
            </w:r>
          </w:p>
        </w:tc>
        <w:tc>
          <w:tcPr>
            <w:tcW w:w="1367" w:type="dxa"/>
            <w:tcBorders>
              <w:top w:val="nil"/>
              <w:left w:val="nil"/>
              <w:bottom w:val="single" w:sz="8" w:space="0" w:color="auto"/>
              <w:right w:val="single" w:sz="8" w:space="0" w:color="auto"/>
            </w:tcBorders>
            <w:shd w:val="clear" w:color="000000" w:fill="5B9BD5"/>
            <w:vAlign w:val="center"/>
            <w:hideMark/>
          </w:tcPr>
          <w:p w14:paraId="7A6D2168" w14:textId="1067A094"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w:t>
            </w:r>
            <w:r w:rsidR="001A2494">
              <w:rPr>
                <w:rFonts w:ascii="Aptos" w:eastAsia="Times New Roman" w:hAnsi="Aptos" w:cs="Times New Roman"/>
                <w:noProof/>
                <w:color w:val="000000"/>
                <w:sz w:val="20"/>
                <w:szCs w:val="20"/>
                <w:lang w:val="sr-Latn-RS"/>
              </w:rPr>
              <w:t>2</w:t>
            </w:r>
          </w:p>
        </w:tc>
      </w:tr>
      <w:tr w:rsidR="009C17E3" w:rsidRPr="0023162C" w14:paraId="30CB67F8" w14:textId="77777777" w:rsidTr="0023162C">
        <w:trPr>
          <w:trHeight w:val="241"/>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02BE9F4C"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w:t>
            </w:r>
          </w:p>
        </w:tc>
        <w:tc>
          <w:tcPr>
            <w:tcW w:w="6390" w:type="dxa"/>
            <w:tcBorders>
              <w:top w:val="nil"/>
              <w:left w:val="nil"/>
              <w:bottom w:val="single" w:sz="8" w:space="0" w:color="auto"/>
              <w:right w:val="single" w:sz="8" w:space="0" w:color="auto"/>
            </w:tcBorders>
            <w:shd w:val="clear" w:color="000000" w:fill="DDEBF7"/>
            <w:vAlign w:val="center"/>
            <w:hideMark/>
          </w:tcPr>
          <w:p w14:paraId="65F1E09A"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Blagovremeno usvajanje predloga godišnjeg budžeta opštine</w:t>
            </w:r>
          </w:p>
        </w:tc>
        <w:tc>
          <w:tcPr>
            <w:tcW w:w="1333" w:type="dxa"/>
            <w:tcBorders>
              <w:top w:val="nil"/>
              <w:left w:val="nil"/>
              <w:bottom w:val="single" w:sz="8" w:space="0" w:color="auto"/>
              <w:right w:val="single" w:sz="8" w:space="0" w:color="auto"/>
            </w:tcBorders>
            <w:shd w:val="clear" w:color="000000" w:fill="DDEBF7"/>
            <w:vAlign w:val="center"/>
            <w:hideMark/>
          </w:tcPr>
          <w:p w14:paraId="0B42646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0D1319A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78420416" w14:textId="77777777" w:rsidTr="0023162C">
        <w:trPr>
          <w:trHeight w:val="250"/>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06606233"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w:t>
            </w:r>
          </w:p>
        </w:tc>
        <w:tc>
          <w:tcPr>
            <w:tcW w:w="6390" w:type="dxa"/>
            <w:tcBorders>
              <w:top w:val="nil"/>
              <w:left w:val="nil"/>
              <w:bottom w:val="single" w:sz="8" w:space="0" w:color="auto"/>
              <w:right w:val="single" w:sz="8" w:space="0" w:color="auto"/>
            </w:tcBorders>
            <w:shd w:val="clear" w:color="000000" w:fill="DDEBF7"/>
            <w:vAlign w:val="center"/>
            <w:hideMark/>
          </w:tcPr>
          <w:p w14:paraId="3AA3EE7B"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Rasprava o tromesečnim budžetskim izveštajima od strane Skupštine opštine</w:t>
            </w:r>
          </w:p>
        </w:tc>
        <w:tc>
          <w:tcPr>
            <w:tcW w:w="1333" w:type="dxa"/>
            <w:tcBorders>
              <w:top w:val="nil"/>
              <w:left w:val="nil"/>
              <w:bottom w:val="single" w:sz="8" w:space="0" w:color="auto"/>
              <w:right w:val="single" w:sz="8" w:space="0" w:color="auto"/>
            </w:tcBorders>
            <w:shd w:val="clear" w:color="000000" w:fill="DDEBF7"/>
            <w:vAlign w:val="center"/>
            <w:hideMark/>
          </w:tcPr>
          <w:p w14:paraId="3E00C81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3F09DBCC"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6BA75E4B" w14:textId="77777777" w:rsidTr="001A2494">
        <w:trPr>
          <w:trHeight w:val="403"/>
        </w:trPr>
        <w:tc>
          <w:tcPr>
            <w:tcW w:w="710" w:type="dxa"/>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17A3BE2D"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3</w:t>
            </w:r>
          </w:p>
        </w:tc>
        <w:tc>
          <w:tcPr>
            <w:tcW w:w="6390" w:type="dxa"/>
            <w:tcBorders>
              <w:top w:val="nil"/>
              <w:left w:val="nil"/>
              <w:bottom w:val="single" w:sz="8" w:space="0" w:color="auto"/>
              <w:right w:val="single" w:sz="8" w:space="0" w:color="auto"/>
            </w:tcBorders>
            <w:shd w:val="clear" w:color="auto" w:fill="DAE9F7" w:themeFill="text2" w:themeFillTint="1A"/>
            <w:vAlign w:val="center"/>
            <w:hideMark/>
          </w:tcPr>
          <w:p w14:paraId="7FC37353"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Rasprava o izveštaju o radu opštine od strane Skupštine opštine za prethodnu godinu</w:t>
            </w:r>
          </w:p>
        </w:tc>
        <w:tc>
          <w:tcPr>
            <w:tcW w:w="1333" w:type="dxa"/>
            <w:tcBorders>
              <w:top w:val="nil"/>
              <w:left w:val="nil"/>
              <w:bottom w:val="single" w:sz="8" w:space="0" w:color="auto"/>
              <w:right w:val="single" w:sz="8" w:space="0" w:color="auto"/>
            </w:tcBorders>
            <w:shd w:val="clear" w:color="auto" w:fill="DAE9F7" w:themeFill="text2" w:themeFillTint="1A"/>
            <w:vAlign w:val="center"/>
            <w:hideMark/>
          </w:tcPr>
          <w:p w14:paraId="082C331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auto" w:fill="DAE9F7" w:themeFill="text2" w:themeFillTint="1A"/>
            <w:vAlign w:val="center"/>
            <w:hideMark/>
          </w:tcPr>
          <w:p w14:paraId="22B09741" w14:textId="0D2103D7"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2</w:t>
            </w:r>
          </w:p>
        </w:tc>
      </w:tr>
      <w:tr w:rsidR="009C17E3" w:rsidRPr="0023162C" w14:paraId="2E1E1CC4" w14:textId="77777777" w:rsidTr="0023162C">
        <w:trPr>
          <w:trHeight w:val="187"/>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0ED9609B"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4</w:t>
            </w:r>
          </w:p>
        </w:tc>
        <w:tc>
          <w:tcPr>
            <w:tcW w:w="6390" w:type="dxa"/>
            <w:tcBorders>
              <w:top w:val="nil"/>
              <w:left w:val="nil"/>
              <w:bottom w:val="single" w:sz="8" w:space="0" w:color="auto"/>
              <w:right w:val="single" w:sz="8" w:space="0" w:color="auto"/>
            </w:tcBorders>
            <w:shd w:val="clear" w:color="000000" w:fill="DDEBF7"/>
            <w:vAlign w:val="center"/>
            <w:hideMark/>
          </w:tcPr>
          <w:p w14:paraId="445BC970"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Rasprava o izveštaju spoljnog revizora i akcionom planu za adresiranje preporuka u Skupštini opštine</w:t>
            </w:r>
          </w:p>
        </w:tc>
        <w:tc>
          <w:tcPr>
            <w:tcW w:w="1333" w:type="dxa"/>
            <w:tcBorders>
              <w:top w:val="nil"/>
              <w:left w:val="nil"/>
              <w:bottom w:val="single" w:sz="8" w:space="0" w:color="auto"/>
              <w:right w:val="single" w:sz="8" w:space="0" w:color="auto"/>
            </w:tcBorders>
            <w:shd w:val="clear" w:color="000000" w:fill="DDEBF7"/>
            <w:vAlign w:val="center"/>
            <w:hideMark/>
          </w:tcPr>
          <w:p w14:paraId="104BB132"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42D98708"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3E3DB790" w14:textId="77777777" w:rsidTr="0023162C">
        <w:trPr>
          <w:trHeight w:val="313"/>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54426365"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5</w:t>
            </w:r>
          </w:p>
        </w:tc>
        <w:tc>
          <w:tcPr>
            <w:tcW w:w="6390" w:type="dxa"/>
            <w:tcBorders>
              <w:top w:val="nil"/>
              <w:left w:val="nil"/>
              <w:bottom w:val="single" w:sz="8" w:space="0" w:color="auto"/>
              <w:right w:val="single" w:sz="8" w:space="0" w:color="auto"/>
            </w:tcBorders>
            <w:shd w:val="clear" w:color="000000" w:fill="DDEBF7"/>
            <w:vAlign w:val="center"/>
            <w:hideMark/>
          </w:tcPr>
          <w:p w14:paraId="11EBEB84"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Sednica Skupštine opštine uz učešće predsednika opštine</w:t>
            </w:r>
          </w:p>
        </w:tc>
        <w:tc>
          <w:tcPr>
            <w:tcW w:w="1333" w:type="dxa"/>
            <w:tcBorders>
              <w:top w:val="nil"/>
              <w:left w:val="nil"/>
              <w:bottom w:val="single" w:sz="8" w:space="0" w:color="auto"/>
              <w:right w:val="single" w:sz="8" w:space="0" w:color="auto"/>
            </w:tcBorders>
            <w:shd w:val="clear" w:color="000000" w:fill="DDEBF7"/>
            <w:vAlign w:val="center"/>
            <w:hideMark/>
          </w:tcPr>
          <w:p w14:paraId="22B6E7E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5DEBE85A"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3C5DA097" w14:textId="77777777" w:rsidTr="0023162C">
        <w:trPr>
          <w:trHeight w:val="250"/>
        </w:trPr>
        <w:tc>
          <w:tcPr>
            <w:tcW w:w="710" w:type="dxa"/>
            <w:tcBorders>
              <w:top w:val="nil"/>
              <w:left w:val="single" w:sz="8" w:space="0" w:color="auto"/>
              <w:bottom w:val="single" w:sz="8" w:space="0" w:color="auto"/>
              <w:right w:val="single" w:sz="8" w:space="0" w:color="auto"/>
            </w:tcBorders>
            <w:shd w:val="clear" w:color="000000" w:fill="9BC2E6"/>
            <w:vAlign w:val="center"/>
            <w:hideMark/>
          </w:tcPr>
          <w:p w14:paraId="60B7D43F"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II</w:t>
            </w:r>
          </w:p>
        </w:tc>
        <w:tc>
          <w:tcPr>
            <w:tcW w:w="6390" w:type="dxa"/>
            <w:tcBorders>
              <w:top w:val="nil"/>
              <w:left w:val="nil"/>
              <w:bottom w:val="single" w:sz="8" w:space="0" w:color="auto"/>
              <w:right w:val="single" w:sz="8" w:space="0" w:color="auto"/>
            </w:tcBorders>
            <w:shd w:val="clear" w:color="000000" w:fill="9BC2E6"/>
            <w:vAlign w:val="center"/>
            <w:hideMark/>
          </w:tcPr>
          <w:p w14:paraId="075652ED"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Učešće, konsultacije i inkluzivnost građana</w:t>
            </w:r>
          </w:p>
        </w:tc>
        <w:tc>
          <w:tcPr>
            <w:tcW w:w="1333" w:type="dxa"/>
            <w:tcBorders>
              <w:top w:val="nil"/>
              <w:left w:val="nil"/>
              <w:bottom w:val="single" w:sz="8" w:space="0" w:color="auto"/>
              <w:right w:val="single" w:sz="8" w:space="0" w:color="auto"/>
            </w:tcBorders>
            <w:shd w:val="clear" w:color="000000" w:fill="9BC2E6"/>
            <w:vAlign w:val="center"/>
            <w:hideMark/>
          </w:tcPr>
          <w:p w14:paraId="15B8000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12</w:t>
            </w:r>
          </w:p>
        </w:tc>
        <w:tc>
          <w:tcPr>
            <w:tcW w:w="1367" w:type="dxa"/>
            <w:tcBorders>
              <w:top w:val="nil"/>
              <w:left w:val="nil"/>
              <w:bottom w:val="single" w:sz="8" w:space="0" w:color="auto"/>
              <w:right w:val="single" w:sz="8" w:space="0" w:color="auto"/>
            </w:tcBorders>
            <w:shd w:val="clear" w:color="000000" w:fill="9BC2E6"/>
            <w:vAlign w:val="center"/>
            <w:hideMark/>
          </w:tcPr>
          <w:p w14:paraId="4EE4D8CA"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12</w:t>
            </w:r>
          </w:p>
        </w:tc>
      </w:tr>
      <w:tr w:rsidR="009C17E3" w:rsidRPr="0023162C" w14:paraId="73484FDC" w14:textId="77777777" w:rsidTr="0023162C">
        <w:trPr>
          <w:trHeight w:val="421"/>
        </w:trPr>
        <w:tc>
          <w:tcPr>
            <w:tcW w:w="710" w:type="dxa"/>
            <w:tcBorders>
              <w:top w:val="nil"/>
              <w:left w:val="single" w:sz="8" w:space="0" w:color="auto"/>
              <w:bottom w:val="single" w:sz="8" w:space="0" w:color="000000"/>
              <w:right w:val="single" w:sz="8" w:space="0" w:color="auto"/>
            </w:tcBorders>
            <w:shd w:val="clear" w:color="000000" w:fill="DDEBF7"/>
            <w:vAlign w:val="center"/>
            <w:hideMark/>
          </w:tcPr>
          <w:p w14:paraId="6EE68736"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6</w:t>
            </w:r>
          </w:p>
        </w:tc>
        <w:tc>
          <w:tcPr>
            <w:tcW w:w="6390" w:type="dxa"/>
            <w:tcBorders>
              <w:top w:val="single" w:sz="8" w:space="0" w:color="auto"/>
              <w:left w:val="nil"/>
              <w:bottom w:val="single" w:sz="4" w:space="0" w:color="auto"/>
              <w:right w:val="single" w:sz="8" w:space="0" w:color="auto"/>
            </w:tcBorders>
            <w:shd w:val="clear" w:color="000000" w:fill="DDEBF7"/>
            <w:vAlign w:val="center"/>
            <w:hideMark/>
          </w:tcPr>
          <w:p w14:paraId="1CDE11F7" w14:textId="61D8FF10" w:rsidR="009C17E3" w:rsidRPr="0023162C" w:rsidRDefault="009C17E3" w:rsidP="009C17E3">
            <w:pPr>
              <w:spacing w:after="0" w:line="240" w:lineRule="auto"/>
              <w:rPr>
                <w:rFonts w:ascii="Aptos Narrow" w:eastAsia="Times New Roman" w:hAnsi="Aptos Narrow" w:cs="Times New Roman"/>
                <w:noProof/>
                <w:color w:val="000000"/>
                <w:sz w:val="20"/>
                <w:szCs w:val="20"/>
                <w:lang w:val="sr-Latn-RS"/>
              </w:rPr>
            </w:pPr>
            <w:r w:rsidRPr="0023162C">
              <w:rPr>
                <w:rFonts w:ascii="Aptos" w:eastAsia="Times New Roman" w:hAnsi="Aptos" w:cs="Times New Roman"/>
                <w:noProof/>
                <w:color w:val="000000"/>
                <w:sz w:val="20"/>
                <w:szCs w:val="20"/>
                <w:lang w:val="sr-Latn-RS"/>
              </w:rPr>
              <w:t>Učešće građana u javnim konsultacijama, razvrstano po polu</w:t>
            </w:r>
          </w:p>
        </w:tc>
        <w:tc>
          <w:tcPr>
            <w:tcW w:w="1333" w:type="dxa"/>
            <w:tcBorders>
              <w:top w:val="single" w:sz="8" w:space="0" w:color="auto"/>
              <w:left w:val="single" w:sz="8" w:space="0" w:color="auto"/>
              <w:bottom w:val="single" w:sz="4" w:space="0" w:color="auto"/>
              <w:right w:val="single" w:sz="8" w:space="0" w:color="auto"/>
            </w:tcBorders>
            <w:shd w:val="clear" w:color="000000" w:fill="DDEBF7"/>
            <w:vAlign w:val="center"/>
            <w:hideMark/>
          </w:tcPr>
          <w:p w14:paraId="0E63E13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single" w:sz="8" w:space="0" w:color="auto"/>
              <w:left w:val="single" w:sz="8" w:space="0" w:color="auto"/>
              <w:bottom w:val="single" w:sz="4" w:space="0" w:color="auto"/>
              <w:right w:val="single" w:sz="8" w:space="0" w:color="auto"/>
            </w:tcBorders>
            <w:shd w:val="clear" w:color="000000" w:fill="DDEBF7"/>
            <w:vAlign w:val="center"/>
            <w:hideMark/>
          </w:tcPr>
          <w:p w14:paraId="28C39C1A"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3A1C5688" w14:textId="77777777" w:rsidTr="0023162C">
        <w:trPr>
          <w:trHeight w:val="79"/>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365319D8"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7</w:t>
            </w:r>
          </w:p>
        </w:tc>
        <w:tc>
          <w:tcPr>
            <w:tcW w:w="6390" w:type="dxa"/>
            <w:tcBorders>
              <w:top w:val="single" w:sz="4" w:space="0" w:color="auto"/>
              <w:left w:val="nil"/>
              <w:bottom w:val="single" w:sz="8" w:space="0" w:color="auto"/>
              <w:right w:val="single" w:sz="8" w:space="0" w:color="auto"/>
            </w:tcBorders>
            <w:shd w:val="clear" w:color="000000" w:fill="DDEBF7"/>
            <w:vAlign w:val="center"/>
            <w:hideMark/>
          </w:tcPr>
          <w:p w14:paraId="2D13478A"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Opštinski akti i dokumenti lokalne politike konsultovani sa javnošću</w:t>
            </w:r>
          </w:p>
        </w:tc>
        <w:tc>
          <w:tcPr>
            <w:tcW w:w="1333" w:type="dxa"/>
            <w:tcBorders>
              <w:top w:val="single" w:sz="4" w:space="0" w:color="auto"/>
              <w:left w:val="nil"/>
              <w:bottom w:val="single" w:sz="8" w:space="0" w:color="auto"/>
              <w:right w:val="single" w:sz="8" w:space="0" w:color="auto"/>
            </w:tcBorders>
            <w:shd w:val="clear" w:color="000000" w:fill="DDEBF7"/>
            <w:vAlign w:val="center"/>
            <w:hideMark/>
          </w:tcPr>
          <w:p w14:paraId="57AC4B5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single" w:sz="4" w:space="0" w:color="auto"/>
              <w:left w:val="nil"/>
              <w:bottom w:val="single" w:sz="8" w:space="0" w:color="auto"/>
              <w:right w:val="single" w:sz="8" w:space="0" w:color="auto"/>
            </w:tcBorders>
            <w:shd w:val="clear" w:color="000000" w:fill="DDEBF7"/>
            <w:vAlign w:val="center"/>
            <w:hideMark/>
          </w:tcPr>
          <w:p w14:paraId="07D2B95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1C355691" w14:textId="77777777" w:rsidTr="0023162C">
        <w:trPr>
          <w:trHeight w:val="268"/>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6C306DC7"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8</w:t>
            </w:r>
          </w:p>
        </w:tc>
        <w:tc>
          <w:tcPr>
            <w:tcW w:w="6390" w:type="dxa"/>
            <w:tcBorders>
              <w:top w:val="nil"/>
              <w:left w:val="nil"/>
              <w:bottom w:val="single" w:sz="8" w:space="0" w:color="auto"/>
              <w:right w:val="single" w:sz="8" w:space="0" w:color="auto"/>
            </w:tcBorders>
            <w:shd w:val="clear" w:color="000000" w:fill="DDEBF7"/>
            <w:vAlign w:val="center"/>
            <w:hideMark/>
          </w:tcPr>
          <w:p w14:paraId="18F06B59"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Javne rasprave o MTBF i opštinskom budžetu (proporcionalno # stanovnika)</w:t>
            </w:r>
          </w:p>
        </w:tc>
        <w:tc>
          <w:tcPr>
            <w:tcW w:w="1333" w:type="dxa"/>
            <w:tcBorders>
              <w:top w:val="nil"/>
              <w:left w:val="nil"/>
              <w:bottom w:val="single" w:sz="8" w:space="0" w:color="auto"/>
              <w:right w:val="single" w:sz="8" w:space="0" w:color="auto"/>
            </w:tcBorders>
            <w:shd w:val="clear" w:color="000000" w:fill="DDEBF7"/>
            <w:vAlign w:val="center"/>
            <w:hideMark/>
          </w:tcPr>
          <w:p w14:paraId="5A52F92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3C2CC2A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526E689F" w14:textId="77777777" w:rsidTr="0023162C">
        <w:trPr>
          <w:trHeight w:val="160"/>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4546CBD9"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III</w:t>
            </w:r>
          </w:p>
        </w:tc>
        <w:tc>
          <w:tcPr>
            <w:tcW w:w="6390" w:type="dxa"/>
            <w:tcBorders>
              <w:top w:val="nil"/>
              <w:left w:val="nil"/>
              <w:bottom w:val="single" w:sz="8" w:space="0" w:color="auto"/>
              <w:right w:val="single" w:sz="8" w:space="0" w:color="auto"/>
            </w:tcBorders>
            <w:shd w:val="clear" w:color="000000" w:fill="9BC2E6"/>
            <w:noWrap/>
            <w:vAlign w:val="center"/>
            <w:hideMark/>
          </w:tcPr>
          <w:p w14:paraId="48070F23"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Transparentnost, pristup informacijama i integritet</w:t>
            </w:r>
          </w:p>
        </w:tc>
        <w:tc>
          <w:tcPr>
            <w:tcW w:w="1333" w:type="dxa"/>
            <w:tcBorders>
              <w:top w:val="nil"/>
              <w:left w:val="nil"/>
              <w:bottom w:val="single" w:sz="8" w:space="0" w:color="auto"/>
              <w:right w:val="single" w:sz="8" w:space="0" w:color="auto"/>
            </w:tcBorders>
            <w:shd w:val="clear" w:color="000000" w:fill="9BC2E6"/>
            <w:noWrap/>
            <w:vAlign w:val="center"/>
            <w:hideMark/>
          </w:tcPr>
          <w:p w14:paraId="51DC7A3F" w14:textId="77777777" w:rsidR="009C17E3" w:rsidRPr="0023162C" w:rsidRDefault="009C17E3" w:rsidP="009C17E3">
            <w:pPr>
              <w:spacing w:after="0" w:line="240" w:lineRule="auto"/>
              <w:jc w:val="center"/>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16</w:t>
            </w:r>
          </w:p>
        </w:tc>
        <w:tc>
          <w:tcPr>
            <w:tcW w:w="1367" w:type="dxa"/>
            <w:tcBorders>
              <w:top w:val="nil"/>
              <w:left w:val="nil"/>
              <w:bottom w:val="single" w:sz="8" w:space="0" w:color="auto"/>
              <w:right w:val="single" w:sz="8" w:space="0" w:color="auto"/>
            </w:tcBorders>
            <w:shd w:val="clear" w:color="000000" w:fill="9BC2E6"/>
            <w:vAlign w:val="center"/>
            <w:hideMark/>
          </w:tcPr>
          <w:p w14:paraId="124A9623" w14:textId="77777777" w:rsidR="009C17E3" w:rsidRPr="0023162C" w:rsidRDefault="009C17E3" w:rsidP="009C17E3">
            <w:pPr>
              <w:spacing w:after="0" w:line="240" w:lineRule="auto"/>
              <w:jc w:val="center"/>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16</w:t>
            </w:r>
          </w:p>
        </w:tc>
      </w:tr>
      <w:tr w:rsidR="009C17E3" w:rsidRPr="0023162C" w14:paraId="69F368D1" w14:textId="77777777" w:rsidTr="0023162C">
        <w:trPr>
          <w:trHeight w:val="79"/>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70B08688"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9</w:t>
            </w:r>
          </w:p>
        </w:tc>
        <w:tc>
          <w:tcPr>
            <w:tcW w:w="6390" w:type="dxa"/>
            <w:tcBorders>
              <w:top w:val="nil"/>
              <w:left w:val="nil"/>
              <w:bottom w:val="single" w:sz="8" w:space="0" w:color="auto"/>
              <w:right w:val="single" w:sz="8" w:space="0" w:color="auto"/>
            </w:tcBorders>
            <w:shd w:val="clear" w:color="000000" w:fill="DDEBF7"/>
            <w:vAlign w:val="center"/>
            <w:hideMark/>
          </w:tcPr>
          <w:p w14:paraId="3F260964"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Sastanci Skupštine su objavljeni i emitovani uživo na mreži</w:t>
            </w:r>
          </w:p>
        </w:tc>
        <w:tc>
          <w:tcPr>
            <w:tcW w:w="1333" w:type="dxa"/>
            <w:tcBorders>
              <w:top w:val="nil"/>
              <w:left w:val="nil"/>
              <w:bottom w:val="single" w:sz="8" w:space="0" w:color="auto"/>
              <w:right w:val="single" w:sz="8" w:space="0" w:color="auto"/>
            </w:tcBorders>
            <w:shd w:val="clear" w:color="000000" w:fill="DDEBF7"/>
            <w:vAlign w:val="center"/>
            <w:hideMark/>
          </w:tcPr>
          <w:p w14:paraId="3143101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74CCA56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33E48BAF" w14:textId="77777777" w:rsidTr="0023162C">
        <w:trPr>
          <w:trHeight w:val="259"/>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3A08FD82"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10</w:t>
            </w:r>
          </w:p>
        </w:tc>
        <w:tc>
          <w:tcPr>
            <w:tcW w:w="6390" w:type="dxa"/>
            <w:tcBorders>
              <w:top w:val="nil"/>
              <w:left w:val="nil"/>
              <w:bottom w:val="single" w:sz="8" w:space="0" w:color="auto"/>
              <w:right w:val="single" w:sz="8" w:space="0" w:color="auto"/>
            </w:tcBorders>
            <w:shd w:val="clear" w:color="000000" w:fill="DDEBF7"/>
            <w:vAlign w:val="center"/>
            <w:hideMark/>
          </w:tcPr>
          <w:p w14:paraId="05F22711"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Ispunjavanje kriterijuma zvaničnog sajta opštine</w:t>
            </w:r>
          </w:p>
        </w:tc>
        <w:tc>
          <w:tcPr>
            <w:tcW w:w="1333" w:type="dxa"/>
            <w:tcBorders>
              <w:top w:val="nil"/>
              <w:left w:val="nil"/>
              <w:bottom w:val="single" w:sz="8" w:space="0" w:color="auto"/>
              <w:right w:val="single" w:sz="8" w:space="0" w:color="auto"/>
            </w:tcBorders>
            <w:shd w:val="clear" w:color="000000" w:fill="DDEBF7"/>
            <w:vAlign w:val="center"/>
            <w:hideMark/>
          </w:tcPr>
          <w:p w14:paraId="35D16B8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3E17D8CA"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7B4950EC" w14:textId="77777777" w:rsidTr="0023162C">
        <w:trPr>
          <w:trHeight w:val="241"/>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61CF8B4B"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11</w:t>
            </w:r>
          </w:p>
        </w:tc>
        <w:tc>
          <w:tcPr>
            <w:tcW w:w="6390" w:type="dxa"/>
            <w:tcBorders>
              <w:top w:val="nil"/>
              <w:left w:val="nil"/>
              <w:bottom w:val="single" w:sz="8" w:space="0" w:color="auto"/>
              <w:right w:val="single" w:sz="8" w:space="0" w:color="auto"/>
            </w:tcBorders>
            <w:shd w:val="clear" w:color="000000" w:fill="DDEBF7"/>
            <w:vAlign w:val="center"/>
            <w:hideMark/>
          </w:tcPr>
          <w:p w14:paraId="721FAA76"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Objavljivanje dokumentacije o javnim nabavkama opštine</w:t>
            </w:r>
          </w:p>
        </w:tc>
        <w:tc>
          <w:tcPr>
            <w:tcW w:w="1333" w:type="dxa"/>
            <w:tcBorders>
              <w:top w:val="nil"/>
              <w:left w:val="nil"/>
              <w:bottom w:val="single" w:sz="8" w:space="0" w:color="auto"/>
              <w:right w:val="single" w:sz="8" w:space="0" w:color="auto"/>
            </w:tcBorders>
            <w:shd w:val="clear" w:color="000000" w:fill="DDEBF7"/>
            <w:vAlign w:val="center"/>
            <w:hideMark/>
          </w:tcPr>
          <w:p w14:paraId="43DB787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55AA248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0E5AB1C9" w14:textId="77777777" w:rsidTr="0023162C">
        <w:trPr>
          <w:trHeight w:val="340"/>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46B258CF"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12</w:t>
            </w:r>
          </w:p>
        </w:tc>
        <w:tc>
          <w:tcPr>
            <w:tcW w:w="6390" w:type="dxa"/>
            <w:tcBorders>
              <w:top w:val="nil"/>
              <w:left w:val="nil"/>
              <w:bottom w:val="single" w:sz="8" w:space="0" w:color="auto"/>
              <w:right w:val="single" w:sz="8" w:space="0" w:color="auto"/>
            </w:tcBorders>
            <w:shd w:val="clear" w:color="000000" w:fill="DDEBF7"/>
            <w:vAlign w:val="center"/>
            <w:hideMark/>
          </w:tcPr>
          <w:p w14:paraId="4305C668"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Objavljivanje izveštaja o procesima javnih konsultacija</w:t>
            </w:r>
          </w:p>
        </w:tc>
        <w:tc>
          <w:tcPr>
            <w:tcW w:w="1333" w:type="dxa"/>
            <w:tcBorders>
              <w:top w:val="nil"/>
              <w:left w:val="nil"/>
              <w:bottom w:val="single" w:sz="8" w:space="0" w:color="auto"/>
              <w:right w:val="single" w:sz="8" w:space="0" w:color="auto"/>
            </w:tcBorders>
            <w:shd w:val="clear" w:color="000000" w:fill="DDEBF7"/>
            <w:vAlign w:val="center"/>
            <w:hideMark/>
          </w:tcPr>
          <w:p w14:paraId="4F99490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4692F200"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5A122A98" w14:textId="77777777" w:rsidTr="0023162C">
        <w:trPr>
          <w:trHeight w:val="250"/>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48631FF2"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13</w:t>
            </w:r>
          </w:p>
        </w:tc>
        <w:tc>
          <w:tcPr>
            <w:tcW w:w="6390" w:type="dxa"/>
            <w:tcBorders>
              <w:top w:val="nil"/>
              <w:left w:val="nil"/>
              <w:bottom w:val="single" w:sz="8" w:space="0" w:color="auto"/>
              <w:right w:val="single" w:sz="8" w:space="0" w:color="auto"/>
            </w:tcBorders>
            <w:shd w:val="clear" w:color="000000" w:fill="DDEBF7"/>
            <w:vAlign w:val="center"/>
            <w:hideMark/>
          </w:tcPr>
          <w:p w14:paraId="1DCD5C09"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Podnošenje godišnjeg plana integriteta Skupštini opštine</w:t>
            </w:r>
          </w:p>
        </w:tc>
        <w:tc>
          <w:tcPr>
            <w:tcW w:w="1333" w:type="dxa"/>
            <w:tcBorders>
              <w:top w:val="nil"/>
              <w:left w:val="nil"/>
              <w:bottom w:val="single" w:sz="8" w:space="0" w:color="auto"/>
              <w:right w:val="single" w:sz="8" w:space="0" w:color="auto"/>
            </w:tcBorders>
            <w:shd w:val="clear" w:color="000000" w:fill="DDEBF7"/>
            <w:vAlign w:val="center"/>
            <w:hideMark/>
          </w:tcPr>
          <w:p w14:paraId="6A5085E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2E2EF24C"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7D491E14" w14:textId="77777777" w:rsidTr="0023162C">
        <w:trPr>
          <w:trHeight w:val="259"/>
        </w:trPr>
        <w:tc>
          <w:tcPr>
            <w:tcW w:w="7100"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05F8F305"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II. OPŠTINSKO UPRAVLJANJE - Upravljanje finansijama, upravljanje ugovorima i upravljanje ljudskim resursima</w:t>
            </w:r>
          </w:p>
        </w:tc>
        <w:tc>
          <w:tcPr>
            <w:tcW w:w="1333" w:type="dxa"/>
            <w:tcBorders>
              <w:top w:val="nil"/>
              <w:left w:val="nil"/>
              <w:bottom w:val="single" w:sz="8" w:space="0" w:color="auto"/>
              <w:right w:val="single" w:sz="8" w:space="0" w:color="auto"/>
            </w:tcBorders>
            <w:shd w:val="clear" w:color="000000" w:fill="4472C4"/>
            <w:noWrap/>
            <w:vAlign w:val="center"/>
            <w:hideMark/>
          </w:tcPr>
          <w:p w14:paraId="3A8FCC9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30</w:t>
            </w:r>
          </w:p>
        </w:tc>
        <w:tc>
          <w:tcPr>
            <w:tcW w:w="1367" w:type="dxa"/>
            <w:tcBorders>
              <w:top w:val="nil"/>
              <w:left w:val="nil"/>
              <w:bottom w:val="single" w:sz="8" w:space="0" w:color="auto"/>
              <w:right w:val="single" w:sz="8" w:space="0" w:color="auto"/>
            </w:tcBorders>
            <w:shd w:val="clear" w:color="000000" w:fill="4472C4"/>
            <w:vAlign w:val="center"/>
            <w:hideMark/>
          </w:tcPr>
          <w:p w14:paraId="39A8015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26</w:t>
            </w:r>
          </w:p>
        </w:tc>
      </w:tr>
      <w:tr w:rsidR="009C17E3" w:rsidRPr="0023162C" w14:paraId="23EED5B0" w14:textId="77777777" w:rsidTr="0023162C">
        <w:trPr>
          <w:trHeight w:val="498"/>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7913E889"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IV</w:t>
            </w:r>
          </w:p>
        </w:tc>
        <w:tc>
          <w:tcPr>
            <w:tcW w:w="6390" w:type="dxa"/>
            <w:tcBorders>
              <w:top w:val="nil"/>
              <w:left w:val="nil"/>
              <w:bottom w:val="single" w:sz="8" w:space="0" w:color="auto"/>
              <w:right w:val="single" w:sz="8" w:space="0" w:color="auto"/>
            </w:tcBorders>
            <w:shd w:val="clear" w:color="000000" w:fill="9BC2E6"/>
            <w:noWrap/>
            <w:vAlign w:val="center"/>
            <w:hideMark/>
          </w:tcPr>
          <w:p w14:paraId="0BCCD8F7"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Finansijski menadžment</w:t>
            </w:r>
          </w:p>
        </w:tc>
        <w:tc>
          <w:tcPr>
            <w:tcW w:w="1333" w:type="dxa"/>
            <w:tcBorders>
              <w:top w:val="nil"/>
              <w:left w:val="nil"/>
              <w:bottom w:val="single" w:sz="8" w:space="0" w:color="auto"/>
              <w:right w:val="single" w:sz="8" w:space="0" w:color="auto"/>
            </w:tcBorders>
            <w:shd w:val="clear" w:color="000000" w:fill="9BC2E6"/>
            <w:noWrap/>
            <w:vAlign w:val="center"/>
            <w:hideMark/>
          </w:tcPr>
          <w:p w14:paraId="4CAC45AF"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13</w:t>
            </w:r>
          </w:p>
        </w:tc>
        <w:tc>
          <w:tcPr>
            <w:tcW w:w="1367" w:type="dxa"/>
            <w:tcBorders>
              <w:top w:val="nil"/>
              <w:left w:val="nil"/>
              <w:bottom w:val="single" w:sz="8" w:space="0" w:color="auto"/>
              <w:right w:val="single" w:sz="8" w:space="0" w:color="auto"/>
            </w:tcBorders>
            <w:shd w:val="clear" w:color="000000" w:fill="9BC2E6"/>
            <w:vAlign w:val="center"/>
            <w:hideMark/>
          </w:tcPr>
          <w:p w14:paraId="07FA2F22"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11</w:t>
            </w:r>
          </w:p>
        </w:tc>
      </w:tr>
      <w:tr w:rsidR="009C17E3" w:rsidRPr="0023162C" w14:paraId="54800CAF" w14:textId="77777777" w:rsidTr="0023162C">
        <w:trPr>
          <w:trHeight w:val="160"/>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1C888C78"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14</w:t>
            </w:r>
          </w:p>
        </w:tc>
        <w:tc>
          <w:tcPr>
            <w:tcW w:w="6390" w:type="dxa"/>
            <w:tcBorders>
              <w:top w:val="nil"/>
              <w:left w:val="nil"/>
              <w:bottom w:val="single" w:sz="8" w:space="0" w:color="auto"/>
              <w:right w:val="single" w:sz="8" w:space="0" w:color="auto"/>
            </w:tcBorders>
            <w:shd w:val="clear" w:color="000000" w:fill="DDEBF7"/>
            <w:vAlign w:val="center"/>
            <w:hideMark/>
          </w:tcPr>
          <w:p w14:paraId="3D818EAB"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ažuriranja registra poreza na imovinu</w:t>
            </w:r>
          </w:p>
        </w:tc>
        <w:tc>
          <w:tcPr>
            <w:tcW w:w="1333" w:type="dxa"/>
            <w:tcBorders>
              <w:top w:val="nil"/>
              <w:left w:val="nil"/>
              <w:bottom w:val="single" w:sz="8" w:space="0" w:color="auto"/>
              <w:right w:val="single" w:sz="8" w:space="0" w:color="auto"/>
            </w:tcBorders>
            <w:shd w:val="clear" w:color="000000" w:fill="DDEBF7"/>
            <w:vAlign w:val="center"/>
            <w:hideMark/>
          </w:tcPr>
          <w:p w14:paraId="2E4AFD0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0DD8E2C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0287810B" w14:textId="77777777" w:rsidTr="0023162C">
        <w:trPr>
          <w:trHeight w:val="115"/>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4F73781B"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15</w:t>
            </w:r>
          </w:p>
        </w:tc>
        <w:tc>
          <w:tcPr>
            <w:tcW w:w="6390" w:type="dxa"/>
            <w:tcBorders>
              <w:top w:val="nil"/>
              <w:left w:val="nil"/>
              <w:bottom w:val="single" w:sz="8" w:space="0" w:color="auto"/>
              <w:right w:val="single" w:sz="8" w:space="0" w:color="auto"/>
            </w:tcBorders>
            <w:shd w:val="clear" w:color="000000" w:fill="DDEBF7"/>
            <w:vAlign w:val="center"/>
            <w:hideMark/>
          </w:tcPr>
          <w:p w14:paraId="1BD3782E"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naplate računa za porez na imovinu (bez dugova, kamata, kazni)</w:t>
            </w:r>
          </w:p>
        </w:tc>
        <w:tc>
          <w:tcPr>
            <w:tcW w:w="1333" w:type="dxa"/>
            <w:tcBorders>
              <w:top w:val="nil"/>
              <w:left w:val="nil"/>
              <w:bottom w:val="single" w:sz="8" w:space="0" w:color="auto"/>
              <w:right w:val="single" w:sz="8" w:space="0" w:color="auto"/>
            </w:tcBorders>
            <w:shd w:val="clear" w:color="000000" w:fill="DDEBF7"/>
            <w:vAlign w:val="center"/>
            <w:hideMark/>
          </w:tcPr>
          <w:p w14:paraId="1AB6446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5</w:t>
            </w:r>
          </w:p>
        </w:tc>
        <w:tc>
          <w:tcPr>
            <w:tcW w:w="1367" w:type="dxa"/>
            <w:tcBorders>
              <w:top w:val="nil"/>
              <w:left w:val="nil"/>
              <w:bottom w:val="single" w:sz="8" w:space="0" w:color="auto"/>
              <w:right w:val="single" w:sz="8" w:space="0" w:color="auto"/>
            </w:tcBorders>
            <w:shd w:val="clear" w:color="000000" w:fill="DDEBF7"/>
            <w:vAlign w:val="center"/>
            <w:hideMark/>
          </w:tcPr>
          <w:p w14:paraId="5D6B903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5</w:t>
            </w:r>
          </w:p>
        </w:tc>
      </w:tr>
      <w:tr w:rsidR="009C17E3" w:rsidRPr="0023162C" w14:paraId="74BA4F03" w14:textId="77777777" w:rsidTr="0023162C">
        <w:trPr>
          <w:trHeight w:val="223"/>
        </w:trPr>
        <w:tc>
          <w:tcPr>
            <w:tcW w:w="710" w:type="dxa"/>
            <w:tcBorders>
              <w:top w:val="nil"/>
              <w:left w:val="single" w:sz="8" w:space="0" w:color="auto"/>
              <w:bottom w:val="dotted" w:sz="4" w:space="0" w:color="auto"/>
              <w:right w:val="single" w:sz="8" w:space="0" w:color="auto"/>
            </w:tcBorders>
            <w:shd w:val="clear" w:color="000000" w:fill="DDEBF7"/>
            <w:vAlign w:val="center"/>
            <w:hideMark/>
          </w:tcPr>
          <w:p w14:paraId="236E4349" w14:textId="77777777" w:rsidR="009C17E3" w:rsidRPr="0023162C" w:rsidRDefault="009C17E3" w:rsidP="00D15524">
            <w:pPr>
              <w:spacing w:after="0" w:line="240" w:lineRule="auto"/>
              <w:jc w:val="center"/>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16 a</w:t>
            </w:r>
          </w:p>
        </w:tc>
        <w:tc>
          <w:tcPr>
            <w:tcW w:w="6390" w:type="dxa"/>
            <w:tcBorders>
              <w:top w:val="nil"/>
              <w:left w:val="nil"/>
              <w:bottom w:val="dotted" w:sz="4" w:space="0" w:color="auto"/>
              <w:right w:val="single" w:sz="8" w:space="0" w:color="auto"/>
            </w:tcBorders>
            <w:shd w:val="clear" w:color="000000" w:fill="DDEBF7"/>
            <w:vAlign w:val="center"/>
            <w:hideMark/>
          </w:tcPr>
          <w:p w14:paraId="58181B84"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adresiranja preporuka Državne revizorske institucije</w:t>
            </w:r>
          </w:p>
        </w:tc>
        <w:tc>
          <w:tcPr>
            <w:tcW w:w="1333" w:type="dxa"/>
            <w:tcBorders>
              <w:top w:val="nil"/>
              <w:left w:val="nil"/>
              <w:bottom w:val="dotted" w:sz="4" w:space="0" w:color="auto"/>
              <w:right w:val="single" w:sz="8" w:space="0" w:color="auto"/>
            </w:tcBorders>
            <w:shd w:val="clear" w:color="000000" w:fill="DDEBF7"/>
            <w:vAlign w:val="center"/>
            <w:hideMark/>
          </w:tcPr>
          <w:p w14:paraId="2FE4792F"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dotted" w:sz="4" w:space="0" w:color="auto"/>
              <w:right w:val="single" w:sz="8" w:space="0" w:color="auto"/>
            </w:tcBorders>
            <w:shd w:val="clear" w:color="000000" w:fill="DDEBF7"/>
            <w:vAlign w:val="center"/>
            <w:hideMark/>
          </w:tcPr>
          <w:p w14:paraId="6B09DEE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0FC4E205" w14:textId="77777777" w:rsidTr="0023162C">
        <w:trPr>
          <w:trHeight w:val="359"/>
        </w:trPr>
        <w:tc>
          <w:tcPr>
            <w:tcW w:w="710" w:type="dxa"/>
            <w:tcBorders>
              <w:top w:val="nil"/>
              <w:left w:val="single" w:sz="8" w:space="0" w:color="auto"/>
              <w:bottom w:val="single" w:sz="8" w:space="0" w:color="auto"/>
              <w:right w:val="single" w:sz="8" w:space="0" w:color="auto"/>
            </w:tcBorders>
            <w:shd w:val="clear" w:color="000000" w:fill="FCE4D6"/>
            <w:vAlign w:val="center"/>
            <w:hideMark/>
          </w:tcPr>
          <w:p w14:paraId="2A761E5A" w14:textId="77777777" w:rsidR="009C17E3" w:rsidRPr="0023162C" w:rsidRDefault="009C17E3" w:rsidP="00D15524">
            <w:pPr>
              <w:spacing w:after="0" w:line="240" w:lineRule="auto"/>
              <w:jc w:val="center"/>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16 b</w:t>
            </w:r>
          </w:p>
        </w:tc>
        <w:tc>
          <w:tcPr>
            <w:tcW w:w="6390" w:type="dxa"/>
            <w:tcBorders>
              <w:top w:val="nil"/>
              <w:left w:val="nil"/>
              <w:bottom w:val="single" w:sz="8" w:space="0" w:color="auto"/>
              <w:right w:val="single" w:sz="8" w:space="0" w:color="auto"/>
            </w:tcBorders>
            <w:shd w:val="clear" w:color="000000" w:fill="FCE4D6"/>
            <w:vAlign w:val="center"/>
            <w:hideMark/>
          </w:tcPr>
          <w:p w14:paraId="10772AB4"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adresiranja preporuka internog revizora</w:t>
            </w:r>
          </w:p>
        </w:tc>
        <w:tc>
          <w:tcPr>
            <w:tcW w:w="1333" w:type="dxa"/>
            <w:tcBorders>
              <w:top w:val="nil"/>
              <w:left w:val="nil"/>
              <w:bottom w:val="single" w:sz="8" w:space="0" w:color="auto"/>
              <w:right w:val="single" w:sz="8" w:space="0" w:color="auto"/>
            </w:tcBorders>
            <w:shd w:val="clear" w:color="000000" w:fill="FCE4D6"/>
            <w:vAlign w:val="center"/>
            <w:hideMark/>
          </w:tcPr>
          <w:p w14:paraId="46AE0439"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FCE4D6"/>
            <w:vAlign w:val="center"/>
            <w:hideMark/>
          </w:tcPr>
          <w:p w14:paraId="1CE4C777"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0</w:t>
            </w:r>
          </w:p>
        </w:tc>
      </w:tr>
      <w:tr w:rsidR="009C17E3" w:rsidRPr="0023162C" w14:paraId="605ECAB3" w14:textId="77777777" w:rsidTr="0023162C">
        <w:trPr>
          <w:trHeight w:val="187"/>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0F1F9FBA"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V</w:t>
            </w:r>
          </w:p>
        </w:tc>
        <w:tc>
          <w:tcPr>
            <w:tcW w:w="6390" w:type="dxa"/>
            <w:tcBorders>
              <w:top w:val="nil"/>
              <w:left w:val="nil"/>
              <w:bottom w:val="single" w:sz="8" w:space="0" w:color="auto"/>
              <w:right w:val="single" w:sz="8" w:space="0" w:color="auto"/>
            </w:tcBorders>
            <w:shd w:val="clear" w:color="000000" w:fill="9BC2E6"/>
            <w:noWrap/>
            <w:vAlign w:val="center"/>
            <w:hideMark/>
          </w:tcPr>
          <w:p w14:paraId="4B3F681A"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Upravljanje ugovorima</w:t>
            </w:r>
          </w:p>
        </w:tc>
        <w:tc>
          <w:tcPr>
            <w:tcW w:w="1333" w:type="dxa"/>
            <w:tcBorders>
              <w:top w:val="nil"/>
              <w:left w:val="nil"/>
              <w:bottom w:val="single" w:sz="8" w:space="0" w:color="auto"/>
              <w:right w:val="single" w:sz="8" w:space="0" w:color="auto"/>
            </w:tcBorders>
            <w:shd w:val="clear" w:color="000000" w:fill="9BC2E6"/>
            <w:noWrap/>
            <w:vAlign w:val="center"/>
            <w:hideMark/>
          </w:tcPr>
          <w:p w14:paraId="5A899CD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7</w:t>
            </w:r>
          </w:p>
        </w:tc>
        <w:tc>
          <w:tcPr>
            <w:tcW w:w="1367" w:type="dxa"/>
            <w:tcBorders>
              <w:top w:val="nil"/>
              <w:left w:val="nil"/>
              <w:bottom w:val="single" w:sz="8" w:space="0" w:color="auto"/>
              <w:right w:val="single" w:sz="8" w:space="0" w:color="auto"/>
            </w:tcBorders>
            <w:shd w:val="clear" w:color="000000" w:fill="9BC2E6"/>
            <w:vAlign w:val="center"/>
            <w:hideMark/>
          </w:tcPr>
          <w:p w14:paraId="6C53A7F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7</w:t>
            </w:r>
          </w:p>
        </w:tc>
      </w:tr>
      <w:tr w:rsidR="009C17E3" w:rsidRPr="0023162C" w14:paraId="05BB2E9F" w14:textId="77777777" w:rsidTr="0023162C">
        <w:trPr>
          <w:trHeight w:val="196"/>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2F932280"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17</w:t>
            </w:r>
          </w:p>
        </w:tc>
        <w:tc>
          <w:tcPr>
            <w:tcW w:w="6390" w:type="dxa"/>
            <w:tcBorders>
              <w:top w:val="nil"/>
              <w:left w:val="nil"/>
              <w:bottom w:val="single" w:sz="8" w:space="0" w:color="auto"/>
              <w:right w:val="single" w:sz="8" w:space="0" w:color="auto"/>
            </w:tcBorders>
            <w:shd w:val="clear" w:color="000000" w:fill="DDEBF7"/>
            <w:vAlign w:val="center"/>
            <w:hideMark/>
          </w:tcPr>
          <w:p w14:paraId="3A9F4A70"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Stepen realizacije plana nabavki</w:t>
            </w:r>
          </w:p>
        </w:tc>
        <w:tc>
          <w:tcPr>
            <w:tcW w:w="1333" w:type="dxa"/>
            <w:tcBorders>
              <w:top w:val="nil"/>
              <w:left w:val="nil"/>
              <w:bottom w:val="single" w:sz="8" w:space="0" w:color="auto"/>
              <w:right w:val="single" w:sz="8" w:space="0" w:color="auto"/>
            </w:tcBorders>
            <w:shd w:val="clear" w:color="000000" w:fill="DDEBF7"/>
            <w:vAlign w:val="center"/>
            <w:hideMark/>
          </w:tcPr>
          <w:p w14:paraId="0BF77E89"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30BE0B10"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130415AD" w14:textId="77777777" w:rsidTr="0023162C">
        <w:trPr>
          <w:trHeight w:val="313"/>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78F83A03"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18</w:t>
            </w:r>
          </w:p>
        </w:tc>
        <w:tc>
          <w:tcPr>
            <w:tcW w:w="6390" w:type="dxa"/>
            <w:tcBorders>
              <w:top w:val="nil"/>
              <w:left w:val="nil"/>
              <w:bottom w:val="single" w:sz="8" w:space="0" w:color="auto"/>
              <w:right w:val="single" w:sz="8" w:space="0" w:color="auto"/>
            </w:tcBorders>
            <w:shd w:val="clear" w:color="000000" w:fill="DDEBF7"/>
            <w:vAlign w:val="center"/>
            <w:hideMark/>
          </w:tcPr>
          <w:p w14:paraId="65D68464"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Sastavljanje i objavljivanje spiska opštinske imovine planirane za puštanje u rad</w:t>
            </w:r>
          </w:p>
        </w:tc>
        <w:tc>
          <w:tcPr>
            <w:tcW w:w="1333" w:type="dxa"/>
            <w:tcBorders>
              <w:top w:val="nil"/>
              <w:left w:val="nil"/>
              <w:bottom w:val="single" w:sz="8" w:space="0" w:color="auto"/>
              <w:right w:val="single" w:sz="8" w:space="0" w:color="auto"/>
            </w:tcBorders>
            <w:shd w:val="clear" w:color="000000" w:fill="DDEBF7"/>
            <w:vAlign w:val="center"/>
            <w:hideMark/>
          </w:tcPr>
          <w:p w14:paraId="71A1E18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6A567CF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1E004DD5" w14:textId="77777777" w:rsidTr="0023162C">
        <w:trPr>
          <w:trHeight w:val="205"/>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1EC04572"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lastRenderedPageBreak/>
              <w:t>VI</w:t>
            </w:r>
          </w:p>
        </w:tc>
        <w:tc>
          <w:tcPr>
            <w:tcW w:w="6390" w:type="dxa"/>
            <w:tcBorders>
              <w:top w:val="nil"/>
              <w:left w:val="nil"/>
              <w:bottom w:val="single" w:sz="8" w:space="0" w:color="auto"/>
              <w:right w:val="single" w:sz="8" w:space="0" w:color="auto"/>
            </w:tcBorders>
            <w:shd w:val="clear" w:color="000000" w:fill="9BC2E6"/>
            <w:noWrap/>
            <w:vAlign w:val="center"/>
            <w:hideMark/>
          </w:tcPr>
          <w:p w14:paraId="5134F7B6"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Upravljanje ljudskim resursima</w:t>
            </w:r>
          </w:p>
        </w:tc>
        <w:tc>
          <w:tcPr>
            <w:tcW w:w="1333" w:type="dxa"/>
            <w:tcBorders>
              <w:top w:val="nil"/>
              <w:left w:val="nil"/>
              <w:bottom w:val="single" w:sz="8" w:space="0" w:color="auto"/>
              <w:right w:val="single" w:sz="8" w:space="0" w:color="auto"/>
            </w:tcBorders>
            <w:shd w:val="clear" w:color="000000" w:fill="9BC2E6"/>
            <w:noWrap/>
            <w:vAlign w:val="center"/>
            <w:hideMark/>
          </w:tcPr>
          <w:p w14:paraId="780FDE0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10</w:t>
            </w:r>
          </w:p>
        </w:tc>
        <w:tc>
          <w:tcPr>
            <w:tcW w:w="1367" w:type="dxa"/>
            <w:tcBorders>
              <w:top w:val="nil"/>
              <w:left w:val="nil"/>
              <w:bottom w:val="single" w:sz="8" w:space="0" w:color="auto"/>
              <w:right w:val="single" w:sz="8" w:space="0" w:color="auto"/>
            </w:tcBorders>
            <w:shd w:val="clear" w:color="000000" w:fill="9BC2E6"/>
            <w:vAlign w:val="center"/>
            <w:hideMark/>
          </w:tcPr>
          <w:p w14:paraId="13C59560" w14:textId="14865BD6"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10</w:t>
            </w:r>
          </w:p>
        </w:tc>
      </w:tr>
      <w:tr w:rsidR="009C17E3" w:rsidRPr="0023162C" w14:paraId="1D37B342" w14:textId="77777777" w:rsidTr="001A2494">
        <w:trPr>
          <w:trHeight w:val="214"/>
        </w:trPr>
        <w:tc>
          <w:tcPr>
            <w:tcW w:w="710" w:type="dxa"/>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0CB6A293"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19</w:t>
            </w:r>
          </w:p>
        </w:tc>
        <w:tc>
          <w:tcPr>
            <w:tcW w:w="6390" w:type="dxa"/>
            <w:tcBorders>
              <w:top w:val="nil"/>
              <w:left w:val="nil"/>
              <w:bottom w:val="single" w:sz="8" w:space="0" w:color="auto"/>
              <w:right w:val="single" w:sz="8" w:space="0" w:color="auto"/>
            </w:tcBorders>
            <w:shd w:val="clear" w:color="auto" w:fill="DAE9F7" w:themeFill="text2" w:themeFillTint="1A"/>
            <w:vAlign w:val="center"/>
            <w:hideMark/>
          </w:tcPr>
          <w:p w14:paraId="55878BBC"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Izrada plana razvoja kadrova</w:t>
            </w:r>
          </w:p>
        </w:tc>
        <w:tc>
          <w:tcPr>
            <w:tcW w:w="1333" w:type="dxa"/>
            <w:tcBorders>
              <w:top w:val="nil"/>
              <w:left w:val="nil"/>
              <w:bottom w:val="single" w:sz="8" w:space="0" w:color="auto"/>
              <w:right w:val="single" w:sz="8" w:space="0" w:color="auto"/>
            </w:tcBorders>
            <w:shd w:val="clear" w:color="auto" w:fill="DAE9F7" w:themeFill="text2" w:themeFillTint="1A"/>
            <w:vAlign w:val="center"/>
            <w:hideMark/>
          </w:tcPr>
          <w:p w14:paraId="4C089D30"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auto" w:fill="DAE9F7" w:themeFill="text2" w:themeFillTint="1A"/>
            <w:vAlign w:val="center"/>
            <w:hideMark/>
          </w:tcPr>
          <w:p w14:paraId="018317E1" w14:textId="43643448"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2</w:t>
            </w:r>
          </w:p>
        </w:tc>
      </w:tr>
      <w:tr w:rsidR="009C17E3" w:rsidRPr="0023162C" w14:paraId="7448E688" w14:textId="77777777" w:rsidTr="0023162C">
        <w:trPr>
          <w:trHeight w:val="358"/>
        </w:trPr>
        <w:tc>
          <w:tcPr>
            <w:tcW w:w="710" w:type="dxa"/>
            <w:tcBorders>
              <w:top w:val="nil"/>
              <w:left w:val="single" w:sz="8" w:space="0" w:color="auto"/>
              <w:bottom w:val="single" w:sz="8" w:space="0" w:color="000000"/>
              <w:right w:val="single" w:sz="8" w:space="0" w:color="auto"/>
            </w:tcBorders>
            <w:shd w:val="clear" w:color="000000" w:fill="DDEBF7"/>
            <w:vAlign w:val="center"/>
            <w:hideMark/>
          </w:tcPr>
          <w:p w14:paraId="7CE4BE5F"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20</w:t>
            </w:r>
          </w:p>
        </w:tc>
        <w:tc>
          <w:tcPr>
            <w:tcW w:w="6390" w:type="dxa"/>
            <w:tcBorders>
              <w:top w:val="nil"/>
              <w:left w:val="single" w:sz="8" w:space="0" w:color="auto"/>
              <w:bottom w:val="single" w:sz="8" w:space="0" w:color="000000"/>
              <w:right w:val="single" w:sz="8" w:space="0" w:color="auto"/>
            </w:tcBorders>
            <w:shd w:val="clear" w:color="000000" w:fill="DDEBF7"/>
            <w:vAlign w:val="center"/>
            <w:hideMark/>
          </w:tcPr>
          <w:p w14:paraId="6E682E38" w14:textId="4E47498A"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Žene na rukovodećim pozicijama u obrazovnim, zdravstvenim i kulturnim institucijama</w:t>
            </w:r>
          </w:p>
        </w:tc>
        <w:tc>
          <w:tcPr>
            <w:tcW w:w="1333" w:type="dxa"/>
            <w:tcBorders>
              <w:top w:val="nil"/>
              <w:left w:val="single" w:sz="8" w:space="0" w:color="auto"/>
              <w:bottom w:val="single" w:sz="8" w:space="0" w:color="000000"/>
              <w:right w:val="single" w:sz="8" w:space="0" w:color="auto"/>
            </w:tcBorders>
            <w:shd w:val="clear" w:color="000000" w:fill="DDEBF7"/>
            <w:vAlign w:val="center"/>
            <w:hideMark/>
          </w:tcPr>
          <w:p w14:paraId="2DC20B90"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5</w:t>
            </w:r>
          </w:p>
        </w:tc>
        <w:tc>
          <w:tcPr>
            <w:tcW w:w="1367" w:type="dxa"/>
            <w:tcBorders>
              <w:top w:val="single" w:sz="8" w:space="0" w:color="auto"/>
              <w:left w:val="nil"/>
              <w:bottom w:val="single" w:sz="4" w:space="0" w:color="auto"/>
              <w:right w:val="single" w:sz="8" w:space="0" w:color="auto"/>
            </w:tcBorders>
            <w:shd w:val="clear" w:color="000000" w:fill="DDEBF7"/>
            <w:vAlign w:val="center"/>
            <w:hideMark/>
          </w:tcPr>
          <w:p w14:paraId="0842587A" w14:textId="48EB4230"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5</w:t>
            </w:r>
          </w:p>
        </w:tc>
      </w:tr>
      <w:tr w:rsidR="009C17E3" w:rsidRPr="0023162C" w14:paraId="60F64938" w14:textId="77777777" w:rsidTr="0023162C">
        <w:trPr>
          <w:trHeight w:val="214"/>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734C9332"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21</w:t>
            </w:r>
          </w:p>
        </w:tc>
        <w:tc>
          <w:tcPr>
            <w:tcW w:w="6390" w:type="dxa"/>
            <w:tcBorders>
              <w:top w:val="nil"/>
              <w:left w:val="nil"/>
              <w:bottom w:val="single" w:sz="8" w:space="0" w:color="auto"/>
              <w:right w:val="single" w:sz="8" w:space="0" w:color="auto"/>
            </w:tcBorders>
            <w:shd w:val="clear" w:color="000000" w:fill="DDEBF7"/>
            <w:vAlign w:val="center"/>
            <w:hideMark/>
          </w:tcPr>
          <w:p w14:paraId="5BB7D4A8"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Žene postavljene na političke funkcije u opštini</w:t>
            </w:r>
          </w:p>
        </w:tc>
        <w:tc>
          <w:tcPr>
            <w:tcW w:w="1333" w:type="dxa"/>
            <w:tcBorders>
              <w:top w:val="nil"/>
              <w:left w:val="nil"/>
              <w:bottom w:val="single" w:sz="8" w:space="0" w:color="auto"/>
              <w:right w:val="single" w:sz="8" w:space="0" w:color="auto"/>
            </w:tcBorders>
            <w:shd w:val="clear" w:color="000000" w:fill="DDEBF7"/>
            <w:vAlign w:val="center"/>
            <w:hideMark/>
          </w:tcPr>
          <w:p w14:paraId="366615A9"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single" w:sz="4" w:space="0" w:color="auto"/>
              <w:left w:val="nil"/>
              <w:bottom w:val="single" w:sz="8" w:space="0" w:color="auto"/>
              <w:right w:val="single" w:sz="8" w:space="0" w:color="auto"/>
            </w:tcBorders>
            <w:shd w:val="clear" w:color="000000" w:fill="DDEBF7"/>
            <w:vAlign w:val="center"/>
            <w:hideMark/>
          </w:tcPr>
          <w:p w14:paraId="0559CC1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7A265E43" w14:textId="77777777" w:rsidTr="0023162C">
        <w:trPr>
          <w:trHeight w:val="223"/>
        </w:trPr>
        <w:tc>
          <w:tcPr>
            <w:tcW w:w="7100"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6363C727"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III. PRUŽANJE USLUGA - Pristup i kvalitet pružanja usluga - po sektorima</w:t>
            </w:r>
          </w:p>
        </w:tc>
        <w:tc>
          <w:tcPr>
            <w:tcW w:w="1333" w:type="dxa"/>
            <w:tcBorders>
              <w:top w:val="nil"/>
              <w:left w:val="nil"/>
              <w:bottom w:val="single" w:sz="8" w:space="0" w:color="auto"/>
              <w:right w:val="single" w:sz="8" w:space="0" w:color="auto"/>
            </w:tcBorders>
            <w:shd w:val="clear" w:color="000000" w:fill="4472C4"/>
            <w:noWrap/>
            <w:vAlign w:val="center"/>
            <w:hideMark/>
          </w:tcPr>
          <w:p w14:paraId="05DC0CE5"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30</w:t>
            </w:r>
          </w:p>
        </w:tc>
        <w:tc>
          <w:tcPr>
            <w:tcW w:w="1367" w:type="dxa"/>
            <w:tcBorders>
              <w:top w:val="nil"/>
              <w:left w:val="nil"/>
              <w:bottom w:val="single" w:sz="8" w:space="0" w:color="auto"/>
              <w:right w:val="single" w:sz="8" w:space="0" w:color="auto"/>
            </w:tcBorders>
            <w:shd w:val="clear" w:color="000000" w:fill="4472C4"/>
            <w:vAlign w:val="center"/>
            <w:hideMark/>
          </w:tcPr>
          <w:p w14:paraId="65E76BFB" w14:textId="5BC1874E"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30</w:t>
            </w:r>
          </w:p>
        </w:tc>
      </w:tr>
      <w:tr w:rsidR="009C17E3" w:rsidRPr="0023162C" w14:paraId="340AC045" w14:textId="77777777" w:rsidTr="0023162C">
        <w:trPr>
          <w:trHeight w:val="133"/>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2CFB27A1"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VII</w:t>
            </w:r>
          </w:p>
        </w:tc>
        <w:tc>
          <w:tcPr>
            <w:tcW w:w="6390" w:type="dxa"/>
            <w:tcBorders>
              <w:top w:val="nil"/>
              <w:left w:val="nil"/>
              <w:bottom w:val="single" w:sz="8" w:space="0" w:color="auto"/>
              <w:right w:val="single" w:sz="8" w:space="0" w:color="auto"/>
            </w:tcBorders>
            <w:shd w:val="clear" w:color="000000" w:fill="9BC2E6"/>
            <w:noWrap/>
            <w:vAlign w:val="center"/>
            <w:hideMark/>
          </w:tcPr>
          <w:p w14:paraId="3A2C058F"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Administrativne usluge</w:t>
            </w:r>
          </w:p>
        </w:tc>
        <w:tc>
          <w:tcPr>
            <w:tcW w:w="1333" w:type="dxa"/>
            <w:tcBorders>
              <w:top w:val="nil"/>
              <w:left w:val="nil"/>
              <w:bottom w:val="single" w:sz="8" w:space="0" w:color="auto"/>
              <w:right w:val="single" w:sz="8" w:space="0" w:color="auto"/>
            </w:tcBorders>
            <w:shd w:val="clear" w:color="000000" w:fill="9BC2E6"/>
            <w:noWrap/>
            <w:vAlign w:val="center"/>
            <w:hideMark/>
          </w:tcPr>
          <w:p w14:paraId="45DE100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6</w:t>
            </w:r>
          </w:p>
        </w:tc>
        <w:tc>
          <w:tcPr>
            <w:tcW w:w="1367" w:type="dxa"/>
            <w:tcBorders>
              <w:top w:val="nil"/>
              <w:left w:val="nil"/>
              <w:bottom w:val="single" w:sz="8" w:space="0" w:color="auto"/>
              <w:right w:val="single" w:sz="8" w:space="0" w:color="auto"/>
            </w:tcBorders>
            <w:shd w:val="clear" w:color="000000" w:fill="9BC2E6"/>
            <w:vAlign w:val="center"/>
            <w:hideMark/>
          </w:tcPr>
          <w:p w14:paraId="73197E2F" w14:textId="13CF9990"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6</w:t>
            </w:r>
          </w:p>
        </w:tc>
      </w:tr>
      <w:tr w:rsidR="009C17E3" w:rsidRPr="0023162C" w14:paraId="0FA763D9" w14:textId="77777777" w:rsidTr="001A2494">
        <w:trPr>
          <w:trHeight w:val="403"/>
        </w:trPr>
        <w:tc>
          <w:tcPr>
            <w:tcW w:w="710" w:type="dxa"/>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1B7EDFD3"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22</w:t>
            </w:r>
          </w:p>
        </w:tc>
        <w:tc>
          <w:tcPr>
            <w:tcW w:w="6390" w:type="dxa"/>
            <w:tcBorders>
              <w:top w:val="nil"/>
              <w:left w:val="nil"/>
              <w:bottom w:val="single" w:sz="8" w:space="0" w:color="auto"/>
              <w:right w:val="single" w:sz="8" w:space="0" w:color="auto"/>
            </w:tcBorders>
            <w:shd w:val="clear" w:color="auto" w:fill="DAE9F7" w:themeFill="text2" w:themeFillTint="1A"/>
            <w:vAlign w:val="center"/>
            <w:hideMark/>
          </w:tcPr>
          <w:p w14:paraId="6D5D6370"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Pojednostavljene administrativne usluge za smanjenje administrativnog opterećenja na opštinskom nivou</w:t>
            </w:r>
          </w:p>
        </w:tc>
        <w:tc>
          <w:tcPr>
            <w:tcW w:w="1333" w:type="dxa"/>
            <w:tcBorders>
              <w:top w:val="nil"/>
              <w:left w:val="nil"/>
              <w:bottom w:val="single" w:sz="8" w:space="0" w:color="auto"/>
              <w:right w:val="single" w:sz="8" w:space="0" w:color="auto"/>
            </w:tcBorders>
            <w:shd w:val="clear" w:color="auto" w:fill="DAE9F7" w:themeFill="text2" w:themeFillTint="1A"/>
            <w:vAlign w:val="center"/>
            <w:hideMark/>
          </w:tcPr>
          <w:p w14:paraId="32BCABF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auto" w:fill="DAE9F7" w:themeFill="text2" w:themeFillTint="1A"/>
            <w:vAlign w:val="center"/>
            <w:hideMark/>
          </w:tcPr>
          <w:p w14:paraId="0B1DC1FB" w14:textId="54E40743" w:rsidR="009C17E3" w:rsidRPr="0023162C" w:rsidRDefault="001A2494" w:rsidP="009C17E3">
            <w:pPr>
              <w:spacing w:after="0" w:line="240" w:lineRule="auto"/>
              <w:jc w:val="center"/>
              <w:rPr>
                <w:rFonts w:ascii="Aptos" w:eastAsia="Times New Roman" w:hAnsi="Aptos" w:cs="Times New Roman"/>
                <w:noProof/>
                <w:color w:val="000000"/>
                <w:sz w:val="20"/>
                <w:szCs w:val="20"/>
                <w:lang w:val="sr-Latn-RS"/>
              </w:rPr>
            </w:pPr>
            <w:r>
              <w:rPr>
                <w:rFonts w:ascii="Aptos" w:eastAsia="Times New Roman" w:hAnsi="Aptos" w:cs="Times New Roman"/>
                <w:noProof/>
                <w:color w:val="000000"/>
                <w:sz w:val="20"/>
                <w:szCs w:val="20"/>
                <w:lang w:val="sr-Latn-RS"/>
              </w:rPr>
              <w:t>4</w:t>
            </w:r>
          </w:p>
        </w:tc>
      </w:tr>
      <w:tr w:rsidR="009C17E3" w:rsidRPr="0023162C" w14:paraId="35713997" w14:textId="77777777" w:rsidTr="0023162C">
        <w:trPr>
          <w:trHeight w:val="340"/>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23AE2F03"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23</w:t>
            </w:r>
          </w:p>
        </w:tc>
        <w:tc>
          <w:tcPr>
            <w:tcW w:w="6390" w:type="dxa"/>
            <w:tcBorders>
              <w:top w:val="nil"/>
              <w:left w:val="nil"/>
              <w:bottom w:val="single" w:sz="8" w:space="0" w:color="auto"/>
              <w:right w:val="single" w:sz="8" w:space="0" w:color="auto"/>
            </w:tcBorders>
            <w:shd w:val="clear" w:color="000000" w:fill="DDEBF7"/>
            <w:vAlign w:val="center"/>
            <w:hideMark/>
          </w:tcPr>
          <w:p w14:paraId="6C4E3BE3"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Razmotrene prijave za građevinske dozvole</w:t>
            </w:r>
          </w:p>
        </w:tc>
        <w:tc>
          <w:tcPr>
            <w:tcW w:w="1333" w:type="dxa"/>
            <w:tcBorders>
              <w:top w:val="nil"/>
              <w:left w:val="nil"/>
              <w:bottom w:val="single" w:sz="8" w:space="0" w:color="auto"/>
              <w:right w:val="single" w:sz="8" w:space="0" w:color="auto"/>
            </w:tcBorders>
            <w:shd w:val="clear" w:color="000000" w:fill="DDEBF7"/>
            <w:vAlign w:val="center"/>
            <w:hideMark/>
          </w:tcPr>
          <w:p w14:paraId="105C5D57"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42759F68"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0C8CE482" w14:textId="77777777" w:rsidTr="0023162C">
        <w:trPr>
          <w:trHeight w:val="254"/>
        </w:trPr>
        <w:tc>
          <w:tcPr>
            <w:tcW w:w="710" w:type="dxa"/>
            <w:tcBorders>
              <w:top w:val="nil"/>
              <w:left w:val="single" w:sz="8" w:space="0" w:color="auto"/>
              <w:bottom w:val="single" w:sz="8" w:space="0" w:color="auto"/>
              <w:right w:val="single" w:sz="8" w:space="0" w:color="auto"/>
            </w:tcBorders>
            <w:shd w:val="clear" w:color="000000" w:fill="9BC2E6"/>
            <w:noWrap/>
            <w:vAlign w:val="center"/>
            <w:hideMark/>
          </w:tcPr>
          <w:p w14:paraId="53BB2368"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VIII</w:t>
            </w:r>
          </w:p>
        </w:tc>
        <w:tc>
          <w:tcPr>
            <w:tcW w:w="6390" w:type="dxa"/>
            <w:tcBorders>
              <w:top w:val="nil"/>
              <w:left w:val="nil"/>
              <w:bottom w:val="single" w:sz="8" w:space="0" w:color="auto"/>
              <w:right w:val="single" w:sz="8" w:space="0" w:color="auto"/>
            </w:tcBorders>
            <w:shd w:val="clear" w:color="000000" w:fill="9BC2E6"/>
            <w:noWrap/>
            <w:vAlign w:val="center"/>
            <w:hideMark/>
          </w:tcPr>
          <w:p w14:paraId="4D4A268B"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Prostorno planiranje, javni prevoz i životna sredina</w:t>
            </w:r>
          </w:p>
        </w:tc>
        <w:tc>
          <w:tcPr>
            <w:tcW w:w="1333" w:type="dxa"/>
            <w:tcBorders>
              <w:top w:val="nil"/>
              <w:left w:val="nil"/>
              <w:bottom w:val="single" w:sz="8" w:space="0" w:color="auto"/>
              <w:right w:val="single" w:sz="8" w:space="0" w:color="auto"/>
            </w:tcBorders>
            <w:shd w:val="clear" w:color="000000" w:fill="9BC2E6"/>
            <w:noWrap/>
            <w:vAlign w:val="center"/>
            <w:hideMark/>
          </w:tcPr>
          <w:p w14:paraId="30B59390"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8</w:t>
            </w:r>
          </w:p>
        </w:tc>
        <w:tc>
          <w:tcPr>
            <w:tcW w:w="1367" w:type="dxa"/>
            <w:tcBorders>
              <w:top w:val="nil"/>
              <w:left w:val="nil"/>
              <w:bottom w:val="single" w:sz="8" w:space="0" w:color="auto"/>
              <w:right w:val="single" w:sz="8" w:space="0" w:color="auto"/>
            </w:tcBorders>
            <w:shd w:val="clear" w:color="000000" w:fill="9BC2E6"/>
            <w:vAlign w:val="center"/>
            <w:hideMark/>
          </w:tcPr>
          <w:p w14:paraId="40EAD8D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8</w:t>
            </w:r>
          </w:p>
        </w:tc>
      </w:tr>
      <w:tr w:rsidR="009C17E3" w:rsidRPr="0023162C" w14:paraId="302D50A0" w14:textId="77777777" w:rsidTr="0023162C">
        <w:trPr>
          <w:trHeight w:val="169"/>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1426F824"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24</w:t>
            </w:r>
          </w:p>
        </w:tc>
        <w:tc>
          <w:tcPr>
            <w:tcW w:w="6390" w:type="dxa"/>
            <w:tcBorders>
              <w:top w:val="nil"/>
              <w:left w:val="nil"/>
              <w:bottom w:val="single" w:sz="8" w:space="0" w:color="auto"/>
              <w:right w:val="single" w:sz="8" w:space="0" w:color="auto"/>
            </w:tcBorders>
            <w:shd w:val="clear" w:color="000000" w:fill="DDEBF7"/>
            <w:vAlign w:val="center"/>
            <w:hideMark/>
          </w:tcPr>
          <w:p w14:paraId="360A374C"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Površina teritorije opština obuhvaćena planovima razvoja opštine</w:t>
            </w:r>
          </w:p>
        </w:tc>
        <w:tc>
          <w:tcPr>
            <w:tcW w:w="1333" w:type="dxa"/>
            <w:tcBorders>
              <w:top w:val="nil"/>
              <w:left w:val="nil"/>
              <w:bottom w:val="single" w:sz="8" w:space="0" w:color="auto"/>
              <w:right w:val="single" w:sz="8" w:space="0" w:color="auto"/>
            </w:tcBorders>
            <w:shd w:val="clear" w:color="000000" w:fill="DDEBF7"/>
            <w:vAlign w:val="center"/>
            <w:hideMark/>
          </w:tcPr>
          <w:p w14:paraId="40F83D9E"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0E60BC87"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2771E789" w14:textId="77777777" w:rsidTr="0023162C">
        <w:trPr>
          <w:trHeight w:val="178"/>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557ACBD6"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25</w:t>
            </w:r>
          </w:p>
        </w:tc>
        <w:tc>
          <w:tcPr>
            <w:tcW w:w="6390" w:type="dxa"/>
            <w:tcBorders>
              <w:top w:val="nil"/>
              <w:left w:val="nil"/>
              <w:bottom w:val="single" w:sz="8" w:space="0" w:color="auto"/>
              <w:right w:val="single" w:sz="8" w:space="0" w:color="auto"/>
            </w:tcBorders>
            <w:shd w:val="clear" w:color="000000" w:fill="DDEBF7"/>
            <w:vAlign w:val="center"/>
            <w:hideMark/>
          </w:tcPr>
          <w:p w14:paraId="62EAB60B"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Naselja uključena u lokalni javni prevoz</w:t>
            </w:r>
          </w:p>
        </w:tc>
        <w:tc>
          <w:tcPr>
            <w:tcW w:w="1333" w:type="dxa"/>
            <w:tcBorders>
              <w:top w:val="nil"/>
              <w:left w:val="nil"/>
              <w:bottom w:val="single" w:sz="8" w:space="0" w:color="auto"/>
              <w:right w:val="single" w:sz="8" w:space="0" w:color="auto"/>
            </w:tcBorders>
            <w:shd w:val="clear" w:color="000000" w:fill="DDEBF7"/>
            <w:vAlign w:val="center"/>
            <w:hideMark/>
          </w:tcPr>
          <w:p w14:paraId="6156B40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c>
          <w:tcPr>
            <w:tcW w:w="1367" w:type="dxa"/>
            <w:tcBorders>
              <w:top w:val="nil"/>
              <w:left w:val="nil"/>
              <w:bottom w:val="single" w:sz="8" w:space="0" w:color="auto"/>
              <w:right w:val="single" w:sz="8" w:space="0" w:color="auto"/>
            </w:tcBorders>
            <w:shd w:val="clear" w:color="000000" w:fill="DDEBF7"/>
            <w:vAlign w:val="center"/>
            <w:hideMark/>
          </w:tcPr>
          <w:p w14:paraId="5644C622"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3</w:t>
            </w:r>
          </w:p>
        </w:tc>
      </w:tr>
      <w:tr w:rsidR="009C17E3" w:rsidRPr="0023162C" w14:paraId="0BE01B34" w14:textId="77777777" w:rsidTr="0023162C">
        <w:trPr>
          <w:trHeight w:val="187"/>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57CC3CCC"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26</w:t>
            </w:r>
          </w:p>
        </w:tc>
        <w:tc>
          <w:tcPr>
            <w:tcW w:w="6390" w:type="dxa"/>
            <w:tcBorders>
              <w:top w:val="nil"/>
              <w:left w:val="nil"/>
              <w:bottom w:val="single" w:sz="8" w:space="0" w:color="auto"/>
              <w:right w:val="single" w:sz="8" w:space="0" w:color="auto"/>
            </w:tcBorders>
            <w:shd w:val="clear" w:color="000000" w:fill="DDEBF7"/>
            <w:vAlign w:val="center"/>
            <w:hideMark/>
          </w:tcPr>
          <w:p w14:paraId="514549A1"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Sprovođenje Lokalnog ekološkog akcionog plana</w:t>
            </w:r>
          </w:p>
        </w:tc>
        <w:tc>
          <w:tcPr>
            <w:tcW w:w="1333" w:type="dxa"/>
            <w:tcBorders>
              <w:top w:val="nil"/>
              <w:left w:val="nil"/>
              <w:bottom w:val="single" w:sz="8" w:space="0" w:color="auto"/>
              <w:right w:val="single" w:sz="8" w:space="0" w:color="auto"/>
            </w:tcBorders>
            <w:shd w:val="clear" w:color="000000" w:fill="DDEBF7"/>
            <w:vAlign w:val="center"/>
            <w:hideMark/>
          </w:tcPr>
          <w:p w14:paraId="6A26986D"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c>
          <w:tcPr>
            <w:tcW w:w="1367" w:type="dxa"/>
            <w:tcBorders>
              <w:top w:val="nil"/>
              <w:left w:val="nil"/>
              <w:bottom w:val="single" w:sz="8" w:space="0" w:color="auto"/>
              <w:right w:val="single" w:sz="8" w:space="0" w:color="auto"/>
            </w:tcBorders>
            <w:shd w:val="clear" w:color="000000" w:fill="DDEBF7"/>
            <w:vAlign w:val="center"/>
            <w:hideMark/>
          </w:tcPr>
          <w:p w14:paraId="65B27FDC"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2</w:t>
            </w:r>
          </w:p>
        </w:tc>
      </w:tr>
      <w:tr w:rsidR="009C17E3" w:rsidRPr="0023162C" w14:paraId="47E6D489" w14:textId="77777777" w:rsidTr="00825FA5">
        <w:trPr>
          <w:trHeight w:val="250"/>
        </w:trPr>
        <w:tc>
          <w:tcPr>
            <w:tcW w:w="710" w:type="dxa"/>
            <w:tcBorders>
              <w:top w:val="nil"/>
              <w:left w:val="single" w:sz="8" w:space="0" w:color="auto"/>
              <w:bottom w:val="single" w:sz="8" w:space="0" w:color="auto"/>
              <w:right w:val="single" w:sz="8" w:space="0" w:color="auto"/>
            </w:tcBorders>
            <w:shd w:val="clear" w:color="000000" w:fill="9BC2E6"/>
            <w:vAlign w:val="center"/>
            <w:hideMark/>
          </w:tcPr>
          <w:p w14:paraId="2F804C2B"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IX</w:t>
            </w:r>
          </w:p>
        </w:tc>
        <w:tc>
          <w:tcPr>
            <w:tcW w:w="6390" w:type="dxa"/>
            <w:tcBorders>
              <w:top w:val="nil"/>
              <w:left w:val="nil"/>
              <w:bottom w:val="single" w:sz="8" w:space="0" w:color="auto"/>
              <w:right w:val="single" w:sz="8" w:space="0" w:color="auto"/>
            </w:tcBorders>
            <w:shd w:val="clear" w:color="000000" w:fill="9BC2E6"/>
            <w:vAlign w:val="center"/>
            <w:hideMark/>
          </w:tcPr>
          <w:p w14:paraId="67F6E2E3" w14:textId="77777777" w:rsidR="009C17E3" w:rsidRPr="00825FA5" w:rsidRDefault="009C17E3" w:rsidP="009C17E3">
            <w:pPr>
              <w:spacing w:after="0" w:line="240" w:lineRule="auto"/>
              <w:rPr>
                <w:rFonts w:ascii="Aptos Display" w:eastAsia="Times New Roman" w:hAnsi="Aptos Display" w:cs="Times New Roman"/>
                <w:noProof/>
                <w:color w:val="FFFFFF"/>
                <w:sz w:val="20"/>
                <w:szCs w:val="20"/>
                <w:lang w:val="sr-Latn-RS"/>
              </w:rPr>
            </w:pPr>
            <w:r w:rsidRPr="00825FA5">
              <w:rPr>
                <w:rFonts w:ascii="Aptos Display" w:eastAsia="Times New Roman" w:hAnsi="Aptos Display" w:cs="Times New Roman"/>
                <w:noProof/>
                <w:color w:val="FFFFFF"/>
                <w:sz w:val="20"/>
                <w:szCs w:val="20"/>
                <w:lang w:val="sr-Latn-RS"/>
              </w:rPr>
              <w:t>Preduniverzitetsko obrazovanje</w:t>
            </w:r>
          </w:p>
        </w:tc>
        <w:tc>
          <w:tcPr>
            <w:tcW w:w="1333" w:type="dxa"/>
            <w:tcBorders>
              <w:top w:val="nil"/>
              <w:left w:val="nil"/>
              <w:bottom w:val="single" w:sz="8" w:space="0" w:color="auto"/>
              <w:right w:val="single" w:sz="8" w:space="0" w:color="auto"/>
            </w:tcBorders>
            <w:shd w:val="clear" w:color="000000" w:fill="9BC2E6"/>
            <w:vAlign w:val="center"/>
            <w:hideMark/>
          </w:tcPr>
          <w:p w14:paraId="056B136F" w14:textId="77777777" w:rsidR="009C17E3" w:rsidRPr="00825FA5" w:rsidRDefault="009C17E3" w:rsidP="009C17E3">
            <w:pPr>
              <w:spacing w:after="0" w:line="240" w:lineRule="auto"/>
              <w:jc w:val="center"/>
              <w:rPr>
                <w:rFonts w:ascii="Aptos Display" w:eastAsia="Times New Roman" w:hAnsi="Aptos Display" w:cs="Times New Roman"/>
                <w:noProof/>
                <w:color w:val="FFFFFF"/>
                <w:sz w:val="20"/>
                <w:szCs w:val="20"/>
                <w:lang w:val="sr-Latn-RS"/>
              </w:rPr>
            </w:pPr>
            <w:r w:rsidRPr="00825FA5">
              <w:rPr>
                <w:rFonts w:ascii="Aptos Display" w:eastAsia="Times New Roman" w:hAnsi="Aptos Display" w:cs="Times New Roman"/>
                <w:noProof/>
                <w:color w:val="FFFFFF"/>
                <w:sz w:val="20"/>
                <w:szCs w:val="20"/>
                <w:lang w:val="sr-Latn-RS"/>
              </w:rPr>
              <w:t>8</w:t>
            </w:r>
          </w:p>
        </w:tc>
        <w:tc>
          <w:tcPr>
            <w:tcW w:w="1367" w:type="dxa"/>
            <w:tcBorders>
              <w:top w:val="nil"/>
              <w:left w:val="nil"/>
              <w:bottom w:val="single" w:sz="8" w:space="0" w:color="auto"/>
              <w:right w:val="single" w:sz="8" w:space="0" w:color="auto"/>
            </w:tcBorders>
            <w:shd w:val="clear" w:color="000000" w:fill="9BC2E6"/>
            <w:vAlign w:val="center"/>
            <w:hideMark/>
          </w:tcPr>
          <w:p w14:paraId="77D52B30" w14:textId="77777777" w:rsidR="009C17E3" w:rsidRPr="00825FA5" w:rsidRDefault="009C17E3" w:rsidP="009C17E3">
            <w:pPr>
              <w:spacing w:after="0" w:line="240" w:lineRule="auto"/>
              <w:jc w:val="center"/>
              <w:rPr>
                <w:rFonts w:ascii="Aptos Display" w:eastAsia="Times New Roman" w:hAnsi="Aptos Display" w:cs="Times New Roman"/>
                <w:noProof/>
                <w:color w:val="FFFFFF"/>
                <w:sz w:val="20"/>
                <w:szCs w:val="20"/>
                <w:lang w:val="sr-Latn-RS"/>
              </w:rPr>
            </w:pPr>
            <w:r w:rsidRPr="00825FA5">
              <w:rPr>
                <w:rFonts w:ascii="Aptos Display" w:eastAsia="Times New Roman" w:hAnsi="Aptos Display" w:cs="Times New Roman"/>
                <w:noProof/>
                <w:color w:val="FFFFFF"/>
                <w:sz w:val="20"/>
                <w:szCs w:val="20"/>
                <w:lang w:val="sr-Latn-RS"/>
              </w:rPr>
              <w:t>8</w:t>
            </w:r>
          </w:p>
        </w:tc>
      </w:tr>
      <w:tr w:rsidR="009C17E3" w:rsidRPr="0023162C" w14:paraId="7AB1AEFC" w14:textId="77777777" w:rsidTr="0023162C">
        <w:trPr>
          <w:trHeight w:val="498"/>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7D746E99"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27</w:t>
            </w:r>
          </w:p>
        </w:tc>
        <w:tc>
          <w:tcPr>
            <w:tcW w:w="6390" w:type="dxa"/>
            <w:tcBorders>
              <w:top w:val="nil"/>
              <w:left w:val="nil"/>
              <w:bottom w:val="single" w:sz="8" w:space="0" w:color="auto"/>
              <w:right w:val="single" w:sz="8" w:space="0" w:color="auto"/>
            </w:tcBorders>
            <w:shd w:val="clear" w:color="000000" w:fill="DDEBF7"/>
            <w:vAlign w:val="center"/>
            <w:hideMark/>
          </w:tcPr>
          <w:p w14:paraId="76C3D3D2" w14:textId="18E376EE"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Ispunjavanje potrebnih uslova sa infrastrukturom, opremom i alatima u ustanovama preduniverzitetskog obrazovanja</w:t>
            </w:r>
          </w:p>
        </w:tc>
        <w:tc>
          <w:tcPr>
            <w:tcW w:w="1333" w:type="dxa"/>
            <w:tcBorders>
              <w:top w:val="nil"/>
              <w:left w:val="nil"/>
              <w:bottom w:val="single" w:sz="8" w:space="0" w:color="auto"/>
              <w:right w:val="single" w:sz="8" w:space="0" w:color="auto"/>
            </w:tcBorders>
            <w:shd w:val="clear" w:color="000000" w:fill="DDEBF7"/>
            <w:vAlign w:val="center"/>
            <w:hideMark/>
          </w:tcPr>
          <w:p w14:paraId="51A2236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54346FCB"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3E84D51A" w14:textId="77777777" w:rsidTr="0023162C">
        <w:trPr>
          <w:trHeight w:val="367"/>
        </w:trPr>
        <w:tc>
          <w:tcPr>
            <w:tcW w:w="710" w:type="dxa"/>
            <w:tcBorders>
              <w:top w:val="single" w:sz="8" w:space="0" w:color="auto"/>
              <w:left w:val="single" w:sz="8" w:space="0" w:color="auto"/>
              <w:bottom w:val="single" w:sz="4" w:space="0" w:color="auto"/>
              <w:right w:val="single" w:sz="8" w:space="0" w:color="auto"/>
            </w:tcBorders>
            <w:shd w:val="clear" w:color="000000" w:fill="DDEBF7"/>
            <w:vAlign w:val="center"/>
            <w:hideMark/>
          </w:tcPr>
          <w:p w14:paraId="0D92FD80"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28</w:t>
            </w:r>
          </w:p>
        </w:tc>
        <w:tc>
          <w:tcPr>
            <w:tcW w:w="6390" w:type="dxa"/>
            <w:tcBorders>
              <w:top w:val="single" w:sz="8" w:space="0" w:color="auto"/>
              <w:left w:val="nil"/>
              <w:bottom w:val="single" w:sz="4" w:space="0" w:color="auto"/>
              <w:right w:val="single" w:sz="8" w:space="0" w:color="auto"/>
            </w:tcBorders>
            <w:shd w:val="clear" w:color="000000" w:fill="DDEBF7"/>
            <w:vAlign w:val="center"/>
            <w:hideMark/>
          </w:tcPr>
          <w:p w14:paraId="5B13C607" w14:textId="6892BE13" w:rsidR="009C17E3" w:rsidRPr="0023162C" w:rsidRDefault="009C17E3" w:rsidP="009C17E3">
            <w:pPr>
              <w:spacing w:after="0" w:line="240" w:lineRule="auto"/>
              <w:rPr>
                <w:rFonts w:ascii="Aptos Narrow" w:eastAsia="Times New Roman" w:hAnsi="Aptos Narrow"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usklađenosti sa ciljnim odnosom učenika i nastavnika</w:t>
            </w:r>
          </w:p>
        </w:tc>
        <w:tc>
          <w:tcPr>
            <w:tcW w:w="1333" w:type="dxa"/>
            <w:tcBorders>
              <w:top w:val="single" w:sz="8" w:space="0" w:color="auto"/>
              <w:left w:val="single" w:sz="8" w:space="0" w:color="auto"/>
              <w:bottom w:val="single" w:sz="4" w:space="0" w:color="auto"/>
              <w:right w:val="single" w:sz="8" w:space="0" w:color="auto"/>
            </w:tcBorders>
            <w:shd w:val="clear" w:color="000000" w:fill="DDEBF7"/>
            <w:vAlign w:val="center"/>
            <w:hideMark/>
          </w:tcPr>
          <w:p w14:paraId="20A0F308"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single" w:sz="8" w:space="0" w:color="auto"/>
              <w:left w:val="single" w:sz="8" w:space="0" w:color="auto"/>
              <w:bottom w:val="single" w:sz="4" w:space="0" w:color="auto"/>
              <w:right w:val="single" w:sz="8" w:space="0" w:color="auto"/>
            </w:tcBorders>
            <w:shd w:val="clear" w:color="000000" w:fill="DDEBF7"/>
            <w:vAlign w:val="center"/>
            <w:hideMark/>
          </w:tcPr>
          <w:p w14:paraId="59983061"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56254D90" w14:textId="77777777" w:rsidTr="0023162C">
        <w:trPr>
          <w:trHeight w:val="161"/>
        </w:trPr>
        <w:tc>
          <w:tcPr>
            <w:tcW w:w="710" w:type="dxa"/>
            <w:tcBorders>
              <w:top w:val="single" w:sz="4" w:space="0" w:color="auto"/>
              <w:left w:val="single" w:sz="8" w:space="0" w:color="auto"/>
              <w:bottom w:val="single" w:sz="8" w:space="0" w:color="auto"/>
              <w:right w:val="single" w:sz="8" w:space="0" w:color="auto"/>
            </w:tcBorders>
            <w:shd w:val="clear" w:color="000000" w:fill="9BC2E6"/>
            <w:vAlign w:val="center"/>
            <w:hideMark/>
          </w:tcPr>
          <w:p w14:paraId="35269343" w14:textId="77777777" w:rsidR="009C17E3" w:rsidRPr="0023162C" w:rsidRDefault="009C17E3" w:rsidP="009C17E3">
            <w:pPr>
              <w:spacing w:after="0" w:line="240" w:lineRule="auto"/>
              <w:rPr>
                <w:rFonts w:ascii="Aptos Display" w:eastAsia="Times New Roman" w:hAnsi="Aptos Display" w:cs="Times New Roman"/>
                <w:noProof/>
                <w:color w:val="FFFFFF"/>
                <w:sz w:val="20"/>
                <w:szCs w:val="20"/>
                <w:lang w:val="sr-Latn-RS"/>
              </w:rPr>
            </w:pPr>
            <w:r w:rsidRPr="0023162C">
              <w:rPr>
                <w:rFonts w:ascii="Aptos Display" w:eastAsia="Times New Roman" w:hAnsi="Aptos Display" w:cs="Times New Roman"/>
                <w:noProof/>
                <w:color w:val="FFFFFF"/>
                <w:sz w:val="20"/>
                <w:szCs w:val="20"/>
                <w:lang w:val="sr-Latn-RS"/>
              </w:rPr>
              <w:t>X</w:t>
            </w:r>
          </w:p>
        </w:tc>
        <w:tc>
          <w:tcPr>
            <w:tcW w:w="6390" w:type="dxa"/>
            <w:tcBorders>
              <w:top w:val="single" w:sz="4" w:space="0" w:color="auto"/>
              <w:left w:val="nil"/>
              <w:bottom w:val="single" w:sz="8" w:space="0" w:color="auto"/>
              <w:right w:val="single" w:sz="8" w:space="0" w:color="auto"/>
            </w:tcBorders>
            <w:shd w:val="clear" w:color="000000" w:fill="9BC2E6"/>
            <w:vAlign w:val="center"/>
            <w:hideMark/>
          </w:tcPr>
          <w:p w14:paraId="23EC3740" w14:textId="77777777" w:rsidR="009C17E3" w:rsidRPr="0023162C" w:rsidRDefault="009C17E3" w:rsidP="009C17E3">
            <w:pPr>
              <w:spacing w:after="0" w:line="240" w:lineRule="auto"/>
              <w:rPr>
                <w:rFonts w:ascii="Aptos" w:eastAsia="Times New Roman" w:hAnsi="Aptos" w:cs="Times New Roman"/>
                <w:noProof/>
                <w:color w:val="FFFFFF"/>
                <w:sz w:val="20"/>
                <w:szCs w:val="20"/>
                <w:lang w:val="sr-Latn-RS"/>
              </w:rPr>
            </w:pPr>
            <w:r w:rsidRPr="0023162C">
              <w:rPr>
                <w:rFonts w:ascii="Aptos" w:eastAsia="Times New Roman" w:hAnsi="Aptos" w:cs="Times New Roman"/>
                <w:noProof/>
                <w:color w:val="FFFFFF"/>
                <w:sz w:val="20"/>
                <w:szCs w:val="20"/>
                <w:lang w:val="sr-Latn-RS"/>
              </w:rPr>
              <w:t>Primarna zdravstvena zaštita</w:t>
            </w:r>
          </w:p>
        </w:tc>
        <w:tc>
          <w:tcPr>
            <w:tcW w:w="1333" w:type="dxa"/>
            <w:tcBorders>
              <w:top w:val="single" w:sz="4" w:space="0" w:color="auto"/>
              <w:left w:val="nil"/>
              <w:bottom w:val="single" w:sz="8" w:space="0" w:color="auto"/>
              <w:right w:val="single" w:sz="8" w:space="0" w:color="auto"/>
            </w:tcBorders>
            <w:shd w:val="clear" w:color="000000" w:fill="9BC2E6"/>
            <w:vAlign w:val="center"/>
            <w:hideMark/>
          </w:tcPr>
          <w:p w14:paraId="381057C9"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8</w:t>
            </w:r>
          </w:p>
        </w:tc>
        <w:tc>
          <w:tcPr>
            <w:tcW w:w="1367" w:type="dxa"/>
            <w:tcBorders>
              <w:top w:val="single" w:sz="4" w:space="0" w:color="auto"/>
              <w:left w:val="nil"/>
              <w:bottom w:val="single" w:sz="8" w:space="0" w:color="auto"/>
              <w:right w:val="single" w:sz="8" w:space="0" w:color="auto"/>
            </w:tcBorders>
            <w:shd w:val="clear" w:color="000000" w:fill="9BC2E6"/>
            <w:vAlign w:val="center"/>
            <w:hideMark/>
          </w:tcPr>
          <w:p w14:paraId="6604831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8</w:t>
            </w:r>
          </w:p>
        </w:tc>
      </w:tr>
      <w:tr w:rsidR="009C17E3" w:rsidRPr="0023162C" w14:paraId="498C1648" w14:textId="77777777" w:rsidTr="0023162C">
        <w:trPr>
          <w:trHeight w:val="367"/>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701D6919"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29</w:t>
            </w:r>
          </w:p>
        </w:tc>
        <w:tc>
          <w:tcPr>
            <w:tcW w:w="6390" w:type="dxa"/>
            <w:tcBorders>
              <w:top w:val="nil"/>
              <w:left w:val="nil"/>
              <w:bottom w:val="single" w:sz="8" w:space="0" w:color="auto"/>
              <w:right w:val="single" w:sz="8" w:space="0" w:color="auto"/>
            </w:tcBorders>
            <w:shd w:val="clear" w:color="000000" w:fill="DDEBF7"/>
            <w:vAlign w:val="center"/>
            <w:hideMark/>
          </w:tcPr>
          <w:p w14:paraId="3355D17A"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Jedinice primarne zdravstvene zaštite sa laboratorijskom opremom i uslugama prema administrativnim uputstvima</w:t>
            </w:r>
          </w:p>
        </w:tc>
        <w:tc>
          <w:tcPr>
            <w:tcW w:w="1333" w:type="dxa"/>
            <w:tcBorders>
              <w:top w:val="nil"/>
              <w:left w:val="nil"/>
              <w:bottom w:val="single" w:sz="8" w:space="0" w:color="auto"/>
              <w:right w:val="single" w:sz="8" w:space="0" w:color="auto"/>
            </w:tcBorders>
            <w:shd w:val="clear" w:color="000000" w:fill="DDEBF7"/>
            <w:vAlign w:val="center"/>
            <w:hideMark/>
          </w:tcPr>
          <w:p w14:paraId="7E5216A6"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2E3BDCA3"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11C524E5" w14:textId="77777777" w:rsidTr="0023162C">
        <w:trPr>
          <w:trHeight w:val="223"/>
        </w:trPr>
        <w:tc>
          <w:tcPr>
            <w:tcW w:w="710" w:type="dxa"/>
            <w:tcBorders>
              <w:top w:val="nil"/>
              <w:left w:val="single" w:sz="8" w:space="0" w:color="auto"/>
              <w:bottom w:val="single" w:sz="8" w:space="0" w:color="auto"/>
              <w:right w:val="single" w:sz="8" w:space="0" w:color="auto"/>
            </w:tcBorders>
            <w:shd w:val="clear" w:color="000000" w:fill="DDEBF7"/>
            <w:vAlign w:val="center"/>
            <w:hideMark/>
          </w:tcPr>
          <w:p w14:paraId="1E3FA36C" w14:textId="77777777" w:rsidR="009C17E3" w:rsidRPr="0023162C" w:rsidRDefault="009C17E3" w:rsidP="009C17E3">
            <w:pPr>
              <w:spacing w:after="0" w:line="240" w:lineRule="auto"/>
              <w:jc w:val="right"/>
              <w:rPr>
                <w:rFonts w:ascii="Aptos Display" w:eastAsia="Times New Roman" w:hAnsi="Aptos Display" w:cs="Times New Roman"/>
                <w:noProof/>
                <w:color w:val="000000"/>
                <w:sz w:val="20"/>
                <w:szCs w:val="20"/>
                <w:lang w:val="sr-Latn-RS"/>
              </w:rPr>
            </w:pPr>
            <w:r w:rsidRPr="0023162C">
              <w:rPr>
                <w:rFonts w:ascii="Aptos Display" w:eastAsia="Times New Roman" w:hAnsi="Aptos Display" w:cs="Times New Roman"/>
                <w:noProof/>
                <w:color w:val="000000"/>
                <w:sz w:val="20"/>
                <w:szCs w:val="20"/>
                <w:lang w:val="sr-Latn-RS"/>
              </w:rPr>
              <w:t>30</w:t>
            </w:r>
          </w:p>
        </w:tc>
        <w:tc>
          <w:tcPr>
            <w:tcW w:w="6390" w:type="dxa"/>
            <w:tcBorders>
              <w:top w:val="nil"/>
              <w:left w:val="nil"/>
              <w:bottom w:val="single" w:sz="8" w:space="0" w:color="auto"/>
              <w:right w:val="single" w:sz="8" w:space="0" w:color="auto"/>
            </w:tcBorders>
            <w:shd w:val="clear" w:color="000000" w:fill="DDEBF7"/>
            <w:vAlign w:val="center"/>
            <w:hideMark/>
          </w:tcPr>
          <w:p w14:paraId="0A6D22DB" w14:textId="77777777" w:rsidR="009C17E3" w:rsidRPr="0023162C" w:rsidRDefault="009C17E3" w:rsidP="009C17E3">
            <w:pPr>
              <w:spacing w:after="0" w:line="240" w:lineRule="auto"/>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Nivo usklađenosti sa timovima porodične medicine i oralnog zdravlja</w:t>
            </w:r>
          </w:p>
        </w:tc>
        <w:tc>
          <w:tcPr>
            <w:tcW w:w="1333" w:type="dxa"/>
            <w:tcBorders>
              <w:top w:val="nil"/>
              <w:left w:val="nil"/>
              <w:bottom w:val="single" w:sz="8" w:space="0" w:color="auto"/>
              <w:right w:val="single" w:sz="8" w:space="0" w:color="auto"/>
            </w:tcBorders>
            <w:shd w:val="clear" w:color="000000" w:fill="DDEBF7"/>
            <w:vAlign w:val="center"/>
            <w:hideMark/>
          </w:tcPr>
          <w:p w14:paraId="17DEDD04"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c>
          <w:tcPr>
            <w:tcW w:w="1367" w:type="dxa"/>
            <w:tcBorders>
              <w:top w:val="nil"/>
              <w:left w:val="nil"/>
              <w:bottom w:val="single" w:sz="8" w:space="0" w:color="auto"/>
              <w:right w:val="single" w:sz="8" w:space="0" w:color="auto"/>
            </w:tcBorders>
            <w:shd w:val="clear" w:color="000000" w:fill="DDEBF7"/>
            <w:vAlign w:val="center"/>
            <w:hideMark/>
          </w:tcPr>
          <w:p w14:paraId="5BD1916F" w14:textId="77777777" w:rsidR="009C17E3" w:rsidRPr="0023162C" w:rsidRDefault="009C17E3" w:rsidP="009C17E3">
            <w:pPr>
              <w:spacing w:after="0" w:line="240" w:lineRule="auto"/>
              <w:jc w:val="center"/>
              <w:rPr>
                <w:rFonts w:ascii="Aptos" w:eastAsia="Times New Roman" w:hAnsi="Aptos" w:cs="Times New Roman"/>
                <w:noProof/>
                <w:color w:val="000000"/>
                <w:sz w:val="20"/>
                <w:szCs w:val="20"/>
                <w:lang w:val="sr-Latn-RS"/>
              </w:rPr>
            </w:pPr>
            <w:r w:rsidRPr="0023162C">
              <w:rPr>
                <w:rFonts w:ascii="Aptos" w:eastAsia="Times New Roman" w:hAnsi="Aptos" w:cs="Times New Roman"/>
                <w:noProof/>
                <w:color w:val="000000"/>
                <w:sz w:val="20"/>
                <w:szCs w:val="20"/>
                <w:lang w:val="sr-Latn-RS"/>
              </w:rPr>
              <w:t>4</w:t>
            </w:r>
          </w:p>
        </w:tc>
      </w:tr>
      <w:tr w:rsidR="009C17E3" w:rsidRPr="0023162C" w14:paraId="264ADBF5" w14:textId="77777777" w:rsidTr="0023162C">
        <w:trPr>
          <w:trHeight w:val="52"/>
        </w:trPr>
        <w:tc>
          <w:tcPr>
            <w:tcW w:w="710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5325294D" w14:textId="77777777" w:rsidR="009C17E3" w:rsidRPr="0023162C" w:rsidRDefault="009C17E3" w:rsidP="009C17E3">
            <w:pPr>
              <w:spacing w:after="0" w:line="240" w:lineRule="auto"/>
              <w:rPr>
                <w:rFonts w:ascii="Aptos" w:eastAsia="Times New Roman" w:hAnsi="Aptos" w:cs="Times New Roman"/>
                <w:b/>
                <w:bCs/>
                <w:noProof/>
                <w:color w:val="000000"/>
                <w:sz w:val="20"/>
                <w:szCs w:val="20"/>
                <w:lang w:val="sr-Latn-RS"/>
              </w:rPr>
            </w:pPr>
            <w:r w:rsidRPr="0023162C">
              <w:rPr>
                <w:rFonts w:ascii="Aptos" w:eastAsia="Times New Roman" w:hAnsi="Aptos" w:cs="Times New Roman"/>
                <w:b/>
                <w:bCs/>
                <w:noProof/>
                <w:color w:val="000000"/>
                <w:sz w:val="20"/>
                <w:szCs w:val="20"/>
                <w:lang w:val="sr-Latn-RS"/>
              </w:rPr>
              <w:t>Ukupno poena</w:t>
            </w:r>
          </w:p>
        </w:tc>
        <w:tc>
          <w:tcPr>
            <w:tcW w:w="1333" w:type="dxa"/>
            <w:tcBorders>
              <w:top w:val="nil"/>
              <w:left w:val="nil"/>
              <w:bottom w:val="single" w:sz="8" w:space="0" w:color="auto"/>
              <w:right w:val="single" w:sz="8" w:space="0" w:color="auto"/>
            </w:tcBorders>
            <w:shd w:val="clear" w:color="000000" w:fill="DDEBF7"/>
            <w:vAlign w:val="center"/>
            <w:hideMark/>
          </w:tcPr>
          <w:p w14:paraId="53AE4D15" w14:textId="77777777" w:rsidR="009C17E3" w:rsidRPr="0023162C" w:rsidRDefault="009C17E3" w:rsidP="009C17E3">
            <w:pPr>
              <w:spacing w:after="0" w:line="240" w:lineRule="auto"/>
              <w:jc w:val="center"/>
              <w:rPr>
                <w:rFonts w:ascii="Aptos" w:eastAsia="Times New Roman" w:hAnsi="Aptos" w:cs="Times New Roman"/>
                <w:b/>
                <w:bCs/>
                <w:noProof/>
                <w:color w:val="000000"/>
                <w:sz w:val="20"/>
                <w:szCs w:val="20"/>
                <w:lang w:val="sr-Latn-RS"/>
              </w:rPr>
            </w:pPr>
            <w:r w:rsidRPr="0023162C">
              <w:rPr>
                <w:rFonts w:ascii="Aptos" w:eastAsia="Times New Roman" w:hAnsi="Aptos" w:cs="Times New Roman"/>
                <w:b/>
                <w:bCs/>
                <w:noProof/>
                <w:color w:val="000000"/>
                <w:sz w:val="20"/>
                <w:szCs w:val="20"/>
                <w:lang w:val="sr-Latn-RS"/>
              </w:rPr>
              <w:t>100</w:t>
            </w:r>
          </w:p>
        </w:tc>
        <w:tc>
          <w:tcPr>
            <w:tcW w:w="1367" w:type="dxa"/>
            <w:tcBorders>
              <w:top w:val="nil"/>
              <w:left w:val="nil"/>
              <w:bottom w:val="single" w:sz="8" w:space="0" w:color="auto"/>
              <w:right w:val="single" w:sz="8" w:space="0" w:color="auto"/>
            </w:tcBorders>
            <w:shd w:val="clear" w:color="000000" w:fill="DDEBF7"/>
            <w:vAlign w:val="center"/>
            <w:hideMark/>
          </w:tcPr>
          <w:p w14:paraId="60CFFDDC" w14:textId="3DDDDC96" w:rsidR="009C17E3" w:rsidRPr="0023162C" w:rsidRDefault="009C17E3" w:rsidP="009C17E3">
            <w:pPr>
              <w:spacing w:after="0" w:line="240" w:lineRule="auto"/>
              <w:jc w:val="center"/>
              <w:rPr>
                <w:rFonts w:ascii="Aptos" w:eastAsia="Times New Roman" w:hAnsi="Aptos" w:cs="Times New Roman"/>
                <w:b/>
                <w:bCs/>
                <w:noProof/>
                <w:color w:val="000000"/>
                <w:sz w:val="20"/>
                <w:szCs w:val="20"/>
                <w:lang w:val="sr-Latn-RS"/>
              </w:rPr>
            </w:pPr>
            <w:r w:rsidRPr="0023162C">
              <w:rPr>
                <w:rFonts w:ascii="Aptos" w:eastAsia="Times New Roman" w:hAnsi="Aptos" w:cs="Times New Roman"/>
                <w:b/>
                <w:bCs/>
                <w:noProof/>
                <w:color w:val="000000"/>
                <w:sz w:val="20"/>
                <w:szCs w:val="20"/>
                <w:lang w:val="sr-Latn-RS"/>
              </w:rPr>
              <w:t>9</w:t>
            </w:r>
            <w:r w:rsidR="001A2494">
              <w:rPr>
                <w:rFonts w:ascii="Aptos" w:eastAsia="Times New Roman" w:hAnsi="Aptos" w:cs="Times New Roman"/>
                <w:b/>
                <w:bCs/>
                <w:noProof/>
                <w:color w:val="000000"/>
                <w:sz w:val="20"/>
                <w:szCs w:val="20"/>
                <w:lang w:val="sr-Latn-RS"/>
              </w:rPr>
              <w:t>8</w:t>
            </w:r>
          </w:p>
        </w:tc>
      </w:tr>
    </w:tbl>
    <w:p w14:paraId="54E6C716" w14:textId="77777777" w:rsidR="009C17E3" w:rsidRPr="009C17E3" w:rsidRDefault="009C17E3" w:rsidP="009C17E3">
      <w:pPr>
        <w:rPr>
          <w:lang w:val="sr-Latn-RS"/>
        </w:rPr>
      </w:pPr>
    </w:p>
    <w:p w14:paraId="5252419D" w14:textId="381BCD84" w:rsidR="0006116B"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bookmarkStart w:id="8" w:name="_Hlk174604391"/>
      <w:r w:rsidRPr="00FF3BB3">
        <w:rPr>
          <w:color w:val="0E2841" w:themeColor="text2"/>
          <w:kern w:val="2"/>
          <w:lang w:val="sr-Latn-RS"/>
          <w14:ligatures w14:val="standardContextual"/>
        </w:rPr>
        <w:t>Procena učinka za grant za 202</w:t>
      </w:r>
      <w:r w:rsidR="001A2494">
        <w:rPr>
          <w:color w:val="0E2841" w:themeColor="text2"/>
          <w:kern w:val="2"/>
          <w:lang w:val="sr-Latn-RS"/>
          <w14:ligatures w14:val="standardContextual"/>
        </w:rPr>
        <w:t>6</w:t>
      </w:r>
      <w:r w:rsidRPr="00FF3BB3">
        <w:rPr>
          <w:color w:val="0E2841" w:themeColor="text2"/>
          <w:kern w:val="2"/>
          <w:lang w:val="sr-Latn-RS"/>
          <w14:ligatures w14:val="standardContextual"/>
        </w:rPr>
        <w:t xml:space="preserve">. godinu je </w:t>
      </w:r>
      <w:r w:rsidR="001869BC">
        <w:rPr>
          <w:color w:val="0E2841" w:themeColor="text2"/>
          <w:kern w:val="2"/>
          <w:lang w:val="sr-Latn-RS"/>
          <w14:ligatures w14:val="standardContextual"/>
        </w:rPr>
        <w:t>izvršen</w:t>
      </w:r>
      <w:r w:rsidRPr="00FF3BB3">
        <w:rPr>
          <w:color w:val="0E2841" w:themeColor="text2"/>
          <w:kern w:val="2"/>
          <w:lang w:val="sr-Latn-RS"/>
          <w14:ligatures w14:val="standardContextual"/>
        </w:rPr>
        <w:t xml:space="preserve"> za sve opštine Republike Kosovo. </w:t>
      </w:r>
      <w:bookmarkEnd w:id="8"/>
      <w:r w:rsidRPr="00FF3BB3">
        <w:rPr>
          <w:color w:val="0E2841" w:themeColor="text2"/>
          <w:kern w:val="2"/>
          <w:lang w:val="sr-Latn-RS"/>
          <w14:ligatures w14:val="standardContextual"/>
        </w:rPr>
        <w:t xml:space="preserve">Detalji u vezi sa metodologijom, procesom, prikupljanjem podataka, detaljno su </w:t>
      </w:r>
      <w:r w:rsidR="001869BC">
        <w:rPr>
          <w:color w:val="0E2841" w:themeColor="text2"/>
          <w:kern w:val="2"/>
          <w:lang w:val="sr-Latn-RS"/>
          <w14:ligatures w14:val="standardContextual"/>
        </w:rPr>
        <w:t>razmatrani</w:t>
      </w:r>
      <w:r w:rsidRPr="00FF3BB3">
        <w:rPr>
          <w:color w:val="0E2841" w:themeColor="text2"/>
          <w:kern w:val="2"/>
          <w:lang w:val="sr-Latn-RS"/>
          <w14:ligatures w14:val="standardContextual"/>
        </w:rPr>
        <w:t xml:space="preserve"> u </w:t>
      </w:r>
      <w:r w:rsidR="00985354" w:rsidRPr="00FF3BB3">
        <w:rPr>
          <w:color w:val="0E2841" w:themeColor="text2"/>
          <w:kern w:val="2"/>
          <w:lang w:val="sr-Latn-RS"/>
          <w14:ligatures w14:val="standardContextual"/>
        </w:rPr>
        <w:t xml:space="preserve">Prilogu </w:t>
      </w:r>
      <w:r w:rsidRPr="00FF3BB3">
        <w:rPr>
          <w:color w:val="0E2841" w:themeColor="text2"/>
          <w:kern w:val="2"/>
          <w:lang w:val="sr-Latn-RS"/>
          <w14:ligatures w14:val="standardContextual"/>
        </w:rPr>
        <w:t>5.</w:t>
      </w:r>
    </w:p>
    <w:p w14:paraId="38ABF64F" w14:textId="77777777" w:rsidR="0006116B" w:rsidRPr="00FF3BB3" w:rsidRDefault="0006116B" w:rsidP="00FF3BB3">
      <w:pPr>
        <w:rPr>
          <w:lang w:val="sr-Latn-RS"/>
        </w:rPr>
      </w:pPr>
    </w:p>
    <w:p w14:paraId="3814F91C" w14:textId="55D666E2" w:rsidR="0006116B" w:rsidRPr="00FF3BB3" w:rsidRDefault="0006116B" w:rsidP="00FF3BB3">
      <w:pPr>
        <w:keepNext/>
        <w:numPr>
          <w:ilvl w:val="0"/>
          <w:numId w:val="1"/>
        </w:numPr>
        <w:shd w:val="clear" w:color="auto" w:fill="215E99" w:themeFill="text2" w:themeFillTint="BF"/>
        <w:tabs>
          <w:tab w:val="left" w:pos="540"/>
        </w:tabs>
        <w:spacing w:after="0" w:line="240" w:lineRule="auto"/>
        <w:ind w:left="902" w:hanging="902"/>
        <w:outlineLvl w:val="0"/>
        <w:rPr>
          <w:rFonts w:asciiTheme="majorHAnsi" w:eastAsiaTheme="majorEastAsia" w:hAnsiTheme="majorHAnsi" w:cstheme="majorHAnsi"/>
          <w:b/>
          <w:color w:val="2C7FCE" w:themeColor="text2" w:themeTint="99"/>
          <w:sz w:val="28"/>
          <w:szCs w:val="28"/>
          <w:lang w:val="sr-Latn-RS"/>
        </w:rPr>
      </w:pPr>
      <w:bookmarkStart w:id="9" w:name="_Toc115186039"/>
      <w:bookmarkStart w:id="10" w:name="_Toc224550090"/>
      <w:r w:rsidRPr="00FF3BB3">
        <w:rPr>
          <w:rFonts w:asciiTheme="majorHAnsi" w:eastAsiaTheme="majorEastAsia" w:hAnsiTheme="majorHAnsi" w:cstheme="majorHAnsi"/>
          <w:b/>
          <w:color w:val="FFFFFF" w:themeColor="background1"/>
          <w:sz w:val="28"/>
          <w:szCs w:val="28"/>
          <w:lang w:val="sr-Latn-RS"/>
        </w:rPr>
        <w:t xml:space="preserve">Grant za opštinski učinak </w:t>
      </w:r>
      <w:r w:rsidR="001869BC">
        <w:rPr>
          <w:rFonts w:asciiTheme="majorHAnsi" w:eastAsiaTheme="majorEastAsia" w:hAnsiTheme="majorHAnsi" w:cstheme="majorHAnsi"/>
          <w:b/>
          <w:color w:val="FFFFFF" w:themeColor="background1"/>
          <w:sz w:val="28"/>
          <w:szCs w:val="28"/>
          <w:lang w:val="sr-Latn-RS"/>
        </w:rPr>
        <w:t xml:space="preserve">za </w:t>
      </w:r>
      <w:r w:rsidRPr="00FF3BB3">
        <w:rPr>
          <w:rFonts w:asciiTheme="majorHAnsi" w:eastAsiaTheme="majorEastAsia" w:hAnsiTheme="majorHAnsi" w:cstheme="majorHAnsi"/>
          <w:b/>
          <w:color w:val="FFFFFF" w:themeColor="background1"/>
          <w:sz w:val="28"/>
          <w:szCs w:val="28"/>
          <w:lang w:val="sr-Latn-RS"/>
        </w:rPr>
        <w:t>202</w:t>
      </w:r>
      <w:r w:rsidR="001A2494">
        <w:rPr>
          <w:rFonts w:asciiTheme="majorHAnsi" w:eastAsiaTheme="majorEastAsia" w:hAnsiTheme="majorHAnsi" w:cstheme="majorHAnsi"/>
          <w:b/>
          <w:color w:val="FFFFFF" w:themeColor="background1"/>
          <w:sz w:val="28"/>
          <w:szCs w:val="28"/>
          <w:lang w:val="sr-Latn-RS"/>
        </w:rPr>
        <w:t>6</w:t>
      </w:r>
      <w:r w:rsidR="001869BC">
        <w:rPr>
          <w:rFonts w:asciiTheme="majorHAnsi" w:eastAsiaTheme="majorEastAsia" w:hAnsiTheme="majorHAnsi" w:cstheme="majorHAnsi"/>
          <w:b/>
          <w:color w:val="FFFFFF" w:themeColor="background1"/>
          <w:sz w:val="28"/>
          <w:szCs w:val="28"/>
          <w:lang w:val="sr-Latn-RS"/>
        </w:rPr>
        <w:t>. godinu</w:t>
      </w:r>
      <w:r w:rsidRPr="00FF3BB3">
        <w:rPr>
          <w:rFonts w:asciiTheme="majorHAnsi" w:eastAsiaTheme="majorEastAsia" w:hAnsiTheme="majorHAnsi" w:cstheme="majorHAnsi"/>
          <w:b/>
          <w:color w:val="FFFFFF" w:themeColor="background1"/>
          <w:sz w:val="28"/>
          <w:szCs w:val="28"/>
          <w:lang w:val="sr-Latn-RS"/>
        </w:rPr>
        <w:t xml:space="preserve"> – </w:t>
      </w:r>
      <w:bookmarkEnd w:id="9"/>
      <w:r w:rsidRPr="00FF3BB3">
        <w:rPr>
          <w:rFonts w:asciiTheme="majorHAnsi" w:eastAsiaTheme="majorEastAsia" w:hAnsiTheme="majorHAnsi" w:cstheme="majorHAnsi"/>
          <w:b/>
          <w:color w:val="FFFFFF" w:themeColor="background1"/>
          <w:sz w:val="28"/>
          <w:szCs w:val="28"/>
          <w:lang w:val="sr-Latn-RS"/>
        </w:rPr>
        <w:t xml:space="preserve">Rezultati </w:t>
      </w:r>
      <w:r w:rsidR="001869BC">
        <w:rPr>
          <w:rFonts w:asciiTheme="majorHAnsi" w:eastAsiaTheme="majorEastAsia" w:hAnsiTheme="majorHAnsi" w:cstheme="majorHAnsi"/>
          <w:b/>
          <w:color w:val="FFFFFF" w:themeColor="background1"/>
          <w:sz w:val="28"/>
          <w:szCs w:val="28"/>
          <w:lang w:val="sr-Latn-RS"/>
        </w:rPr>
        <w:t>procene</w:t>
      </w:r>
      <w:bookmarkEnd w:id="10"/>
    </w:p>
    <w:p w14:paraId="17A57ACB" w14:textId="77777777" w:rsidR="0006116B" w:rsidRPr="00FF3BB3" w:rsidRDefault="0006116B" w:rsidP="00FF3BB3">
      <w:pPr>
        <w:keepNext/>
        <w:tabs>
          <w:tab w:val="left" w:pos="540"/>
        </w:tabs>
        <w:spacing w:after="0" w:line="240" w:lineRule="auto"/>
        <w:ind w:left="540" w:hanging="540"/>
        <w:outlineLvl w:val="0"/>
        <w:rPr>
          <w:rFonts w:asciiTheme="majorHAnsi" w:eastAsiaTheme="majorEastAsia" w:hAnsiTheme="majorHAnsi" w:cstheme="majorHAnsi"/>
          <w:b/>
          <w:color w:val="CC9900"/>
          <w:sz w:val="24"/>
          <w:szCs w:val="24"/>
          <w:lang w:val="sr-Latn-RS"/>
        </w:rPr>
      </w:pPr>
      <w:bookmarkStart w:id="11" w:name="_Toc224550091"/>
      <w:r w:rsidRPr="00FF3BB3">
        <w:rPr>
          <w:rFonts w:asciiTheme="majorHAnsi" w:eastAsiaTheme="majorEastAsia" w:hAnsiTheme="majorHAnsi" w:cstheme="majorHAnsi"/>
          <w:b/>
          <w:color w:val="CC9900"/>
          <w:sz w:val="24"/>
          <w:szCs w:val="24"/>
          <w:lang w:val="sr-Latn-RS"/>
        </w:rPr>
        <w:t>2.1 Rezultati minimalnih uslova</w:t>
      </w:r>
      <w:bookmarkEnd w:id="11"/>
    </w:p>
    <w:p w14:paraId="42648C7F" w14:textId="77777777" w:rsidR="0006116B" w:rsidRPr="00FF3BB3" w:rsidRDefault="0006116B" w:rsidP="00FF3BB3">
      <w:pPr>
        <w:keepNext/>
        <w:tabs>
          <w:tab w:val="left" w:pos="540"/>
        </w:tabs>
        <w:spacing w:after="0" w:line="240" w:lineRule="auto"/>
        <w:ind w:left="540" w:hanging="540"/>
        <w:outlineLvl w:val="0"/>
        <w:rPr>
          <w:rFonts w:asciiTheme="majorHAnsi" w:eastAsiaTheme="majorEastAsia" w:hAnsiTheme="majorHAnsi" w:cstheme="majorHAnsi"/>
          <w:b/>
          <w:color w:val="CC9900"/>
          <w:sz w:val="24"/>
          <w:szCs w:val="24"/>
          <w:lang w:val="sr-Latn-RS"/>
        </w:rPr>
      </w:pPr>
    </w:p>
    <w:p w14:paraId="00EE17D5" w14:textId="31C4B2B6"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Od 38</w:t>
      </w:r>
      <w:r w:rsidR="00BA1C84">
        <w:rPr>
          <w:color w:val="0E2841" w:themeColor="text2"/>
          <w:kern w:val="2"/>
          <w:lang w:val="sr-Latn-RS"/>
          <w14:ligatures w14:val="standardContextual"/>
        </w:rPr>
        <w:t>.</w:t>
      </w:r>
      <w:r w:rsidRPr="00FF3BB3">
        <w:rPr>
          <w:color w:val="0E2841" w:themeColor="text2"/>
          <w:kern w:val="2"/>
          <w:lang w:val="sr-Latn-RS"/>
          <w14:ligatures w14:val="standardContextual"/>
        </w:rPr>
        <w:t xml:space="preserve"> opština Republike Kosovo, </w:t>
      </w:r>
      <w:r w:rsidR="001A2494">
        <w:rPr>
          <w:color w:val="0E2841" w:themeColor="text2"/>
          <w:kern w:val="2"/>
          <w:lang w:val="sr-Latn-RS"/>
          <w14:ligatures w14:val="standardContextual"/>
        </w:rPr>
        <w:t>5</w:t>
      </w:r>
      <w:r w:rsidRPr="00FF3BB3">
        <w:rPr>
          <w:color w:val="0E2841" w:themeColor="text2"/>
          <w:kern w:val="2"/>
          <w:lang w:val="sr-Latn-RS"/>
          <w14:ligatures w14:val="standardContextual"/>
        </w:rPr>
        <w:t xml:space="preserve"> opština ili </w:t>
      </w:r>
      <w:r w:rsidR="001A2494">
        <w:rPr>
          <w:color w:val="0E2841" w:themeColor="text2"/>
          <w:kern w:val="2"/>
          <w:lang w:val="sr-Latn-RS"/>
          <w14:ligatures w14:val="standardContextual"/>
        </w:rPr>
        <w:t>13,15</w:t>
      </w:r>
      <w:r w:rsidRPr="00FF3BB3">
        <w:rPr>
          <w:color w:val="0E2841" w:themeColor="text2"/>
          <w:kern w:val="2"/>
          <w:lang w:val="sr-Latn-RS"/>
          <w14:ligatures w14:val="standardContextual"/>
        </w:rPr>
        <w:t>% je ispunilo četiri minimalna</w:t>
      </w:r>
      <w:r w:rsidR="00BA1C84">
        <w:rPr>
          <w:color w:val="0E2841" w:themeColor="text2"/>
          <w:kern w:val="2"/>
          <w:lang w:val="sr-Latn-RS"/>
          <w14:ligatures w14:val="standardContextual"/>
        </w:rPr>
        <w:t xml:space="preserve"> uslova i biće opštine korisnice</w:t>
      </w:r>
      <w:r w:rsidRPr="00FF3BB3">
        <w:rPr>
          <w:color w:val="0E2841" w:themeColor="text2"/>
          <w:kern w:val="2"/>
          <w:lang w:val="sr-Latn-RS"/>
          <w14:ligatures w14:val="standardContextual"/>
        </w:rPr>
        <w:t xml:space="preserve"> granta za opštin</w:t>
      </w:r>
      <w:r w:rsidR="00BA1C84">
        <w:rPr>
          <w:color w:val="0E2841" w:themeColor="text2"/>
          <w:kern w:val="2"/>
          <w:lang w:val="sr-Latn-RS"/>
          <w14:ligatures w14:val="standardContextual"/>
        </w:rPr>
        <w:t xml:space="preserve">ski učinak </w:t>
      </w:r>
      <w:r w:rsidRPr="00FF3BB3">
        <w:rPr>
          <w:color w:val="0E2841" w:themeColor="text2"/>
          <w:kern w:val="2"/>
          <w:lang w:val="sr-Latn-RS"/>
          <w14:ligatures w14:val="standardContextual"/>
        </w:rPr>
        <w:t xml:space="preserve">u 2025. </w:t>
      </w:r>
      <w:r w:rsidR="00BA1C84">
        <w:rPr>
          <w:color w:val="0E2841" w:themeColor="text2"/>
          <w:kern w:val="2"/>
          <w:lang w:val="sr-Latn-RS"/>
          <w14:ligatures w14:val="standardContextual"/>
        </w:rPr>
        <w:t xml:space="preserve">godine. </w:t>
      </w:r>
      <w:r w:rsidRPr="00FF3BB3">
        <w:rPr>
          <w:color w:val="0E2841" w:themeColor="text2"/>
          <w:kern w:val="2"/>
          <w:lang w:val="sr-Latn-RS"/>
          <w14:ligatures w14:val="standardContextual"/>
        </w:rPr>
        <w:t xml:space="preserve">Opštine korisnice su opštine </w:t>
      </w:r>
      <w:r w:rsidR="001A2494" w:rsidRPr="001A2494">
        <w:rPr>
          <w:color w:val="0E2841" w:themeColor="text2"/>
          <w:kern w:val="2"/>
          <w:lang w:val="sr-Latn-RS"/>
          <w14:ligatures w14:val="standardContextual"/>
        </w:rPr>
        <w:t>Opštine korisnice su opštine Dragaš,Orahovac, Klina, Mamuša i Parteš.</w:t>
      </w:r>
    </w:p>
    <w:p w14:paraId="49150385" w14:textId="20A7B6DB" w:rsidR="0006116B" w:rsidRPr="00FF3BB3" w:rsidRDefault="0006116B" w:rsidP="00FF3BB3">
      <w:pPr>
        <w:pStyle w:val="Caption"/>
        <w:rPr>
          <w:lang w:val="sr-Latn-RS"/>
        </w:rPr>
      </w:pPr>
      <w:r w:rsidRPr="00FF3BB3">
        <w:rPr>
          <w:rFonts w:ascii="Aptos" w:hAnsi="Aptos"/>
          <w:noProof/>
          <w:kern w:val="2"/>
          <w:sz w:val="21"/>
          <w:szCs w:val="21"/>
          <w:lang w:val="en-GB" w:eastAsia="en-GB"/>
          <w14:ligatures w14:val="standardContextual"/>
        </w:rPr>
        <w:lastRenderedPageBreak/>
        <w:drawing>
          <wp:anchor distT="0" distB="0" distL="114300" distR="114300" simplePos="0" relativeHeight="251667456" behindDoc="1" locked="0" layoutInCell="1" allowOverlap="1" wp14:anchorId="58589129" wp14:editId="3F9032A1">
            <wp:simplePos x="0" y="0"/>
            <wp:positionH relativeFrom="margin">
              <wp:align>left</wp:align>
            </wp:positionH>
            <wp:positionV relativeFrom="paragraph">
              <wp:posOffset>181610</wp:posOffset>
            </wp:positionV>
            <wp:extent cx="3726180" cy="2438400"/>
            <wp:effectExtent l="0" t="0" r="7620" b="0"/>
            <wp:wrapTight wrapText="bothSides">
              <wp:wrapPolygon edited="0">
                <wp:start x="110" y="0"/>
                <wp:lineTo x="0" y="506"/>
                <wp:lineTo x="0" y="21094"/>
                <wp:lineTo x="110" y="21431"/>
                <wp:lineTo x="21423" y="21431"/>
                <wp:lineTo x="21534" y="21094"/>
                <wp:lineTo x="21534" y="506"/>
                <wp:lineTo x="21423" y="0"/>
                <wp:lineTo x="110" y="0"/>
              </wp:wrapPolygon>
            </wp:wrapTight>
            <wp:docPr id="191416389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93B2567-7F32-040F-7EC9-B3F9A8BC4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634E78C" w14:textId="1133C5A5" w:rsidR="0006116B" w:rsidRPr="00FF3BB3" w:rsidRDefault="0006116B"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 </w:t>
      </w:r>
      <w:r w:rsidRPr="00FF3BB3">
        <w:rPr>
          <w:color w:val="0E2841" w:themeColor="text2"/>
          <w:kern w:val="2"/>
          <w:lang w:val="sr-Latn-RS"/>
          <w14:ligatures w14:val="standardContextual"/>
        </w:rPr>
        <w:tab/>
      </w:r>
      <w:r w:rsidR="00152702" w:rsidRPr="00152702">
        <w:rPr>
          <w:color w:val="0E2841" w:themeColor="text2"/>
          <w:kern w:val="2"/>
          <w:lang w:val="sr-Latn-RS"/>
          <w14:ligatures w14:val="standardContextual"/>
        </w:rPr>
        <w:t>33 od 38. opština ili 86.84 % su ispunile prvi minimalni uslov (opštine su morale da izveštavaju podatke SUUO prema utvrđenom roku);</w:t>
      </w:r>
    </w:p>
    <w:p w14:paraId="73C9892E" w14:textId="544C2DB7" w:rsidR="00904EC0" w:rsidRPr="000F315E" w:rsidRDefault="0006116B" w:rsidP="000F315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 </w:t>
      </w:r>
      <w:r w:rsidRPr="00FF3BB3">
        <w:rPr>
          <w:color w:val="0E2841" w:themeColor="text2"/>
          <w:kern w:val="2"/>
          <w:lang w:val="sr-Latn-RS"/>
          <w14:ligatures w14:val="standardContextual"/>
        </w:rPr>
        <w:tab/>
      </w:r>
      <w:r w:rsidR="00152702" w:rsidRPr="00152702">
        <w:rPr>
          <w:color w:val="0E2841" w:themeColor="text2"/>
          <w:kern w:val="2"/>
          <w:lang w:val="sr-Latn-RS"/>
          <w14:ligatures w14:val="standardContextual"/>
        </w:rPr>
        <w:t>33 od 38. opština ili 86.84 % je ispunilo drugi minimalni uslov (opštine su morale poštovati zakonsku obavezu da pregledaju opštinske akte koje je nadzorni organ procenio kao nezakonite).</w:t>
      </w:r>
    </w:p>
    <w:p w14:paraId="5DBC2434" w14:textId="45176D7D" w:rsidR="00152702" w:rsidRPr="00152702" w:rsidRDefault="00152702" w:rsidP="000F315E">
      <w:pPr>
        <w:pStyle w:val="ListParagraph"/>
        <w:numPr>
          <w:ilvl w:val="0"/>
          <w:numId w:val="7"/>
        </w:numPr>
        <w:jc w:val="both"/>
        <w:rPr>
          <w:color w:val="0E2841" w:themeColor="text2"/>
          <w:kern w:val="2"/>
          <w:lang w:val="sr-Latn-RS"/>
          <w14:ligatures w14:val="standardContextual"/>
        </w:rPr>
      </w:pPr>
      <w:bookmarkStart w:id="12" w:name="_Hlk178255790"/>
      <w:r w:rsidRPr="00152702">
        <w:rPr>
          <w:color w:val="0E2841" w:themeColor="text2"/>
          <w:kern w:val="2"/>
          <w:lang w:val="sr-Latn-RS"/>
          <w14:ligatures w14:val="standardContextual"/>
        </w:rPr>
        <w:t>Treći minimalni uslov ispunilo je</w:t>
      </w:r>
    </w:p>
    <w:p w14:paraId="4F477E72" w14:textId="420A75AD" w:rsidR="0006116B" w:rsidRPr="00FF3BB3" w:rsidRDefault="00152702" w:rsidP="000F315E">
      <w:pPr>
        <w:pStyle w:val="ListParagraph"/>
        <w:jc w:val="both"/>
        <w:rPr>
          <w:rFonts w:ascii="Aptos" w:hAnsi="Aptos"/>
          <w:kern w:val="2"/>
          <w:sz w:val="21"/>
          <w:szCs w:val="21"/>
          <w:lang w:val="sr-Latn-RS"/>
          <w14:ligatures w14:val="standardContextual"/>
        </w:rPr>
      </w:pPr>
      <w:r w:rsidRPr="00152702">
        <w:rPr>
          <w:color w:val="0E2841" w:themeColor="text2"/>
          <w:kern w:val="2"/>
          <w:lang w:val="sr-Latn-RS"/>
          <w14:ligatures w14:val="standardContextual"/>
        </w:rPr>
        <w:t xml:space="preserve">7 od 38. opština ili 18.42 % (revizijsko </w:t>
      </w:r>
      <w:r w:rsidR="000F315E">
        <w:rPr>
          <w:color w:val="0E2841" w:themeColor="text2"/>
          <w:kern w:val="2"/>
          <w:lang w:val="sr-Latn-RS"/>
          <w14:ligatures w14:val="standardContextual"/>
        </w:rPr>
        <w:t xml:space="preserve">                         </w:t>
      </w:r>
      <w:r w:rsidRPr="00152702">
        <w:rPr>
          <w:color w:val="0E2841" w:themeColor="text2"/>
          <w:kern w:val="2"/>
          <w:lang w:val="sr-Latn-RS"/>
          <w14:ligatures w14:val="standardContextual"/>
        </w:rPr>
        <w:t>mišljenje treba da bude u najmanju ruku neizmenjeno sa isticanjem pitanja).</w:t>
      </w:r>
      <w:r w:rsidR="000F315E">
        <w:rPr>
          <w:color w:val="0E2841" w:themeColor="text2"/>
          <w:kern w:val="2"/>
          <w:lang w:val="sr-Latn-RS"/>
          <w14:ligatures w14:val="standardContextual"/>
        </w:rPr>
        <w:t xml:space="preserve"> </w:t>
      </w:r>
    </w:p>
    <w:p w14:paraId="04CABDCD" w14:textId="5025678C" w:rsidR="0006116B" w:rsidRPr="00FF3BB3" w:rsidRDefault="000F315E"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Pr>
          <w:color w:val="0E2841" w:themeColor="text2"/>
          <w:kern w:val="2"/>
          <w:lang w:val="sr-Latn-RS"/>
          <w14:ligatures w14:val="standardContextual"/>
        </w:rPr>
        <w:t xml:space="preserve">                                                                                                                         </w:t>
      </w:r>
      <w:r w:rsidR="0006116B" w:rsidRPr="00FF3BB3">
        <w:rPr>
          <w:color w:val="0E2841" w:themeColor="text2"/>
          <w:kern w:val="2"/>
          <w:lang w:val="sr-Latn-RS"/>
          <w14:ligatures w14:val="standardContextual"/>
        </w:rPr>
        <w:t xml:space="preserve">• </w:t>
      </w:r>
      <w:bookmarkEnd w:id="12"/>
      <w:r>
        <w:rPr>
          <w:color w:val="0E2841" w:themeColor="text2"/>
          <w:kern w:val="2"/>
          <w:lang w:val="sr-Latn-RS"/>
          <w14:ligatures w14:val="standardContextual"/>
        </w:rPr>
        <w:t xml:space="preserve">  </w:t>
      </w:r>
      <w:r w:rsidR="00152702" w:rsidRPr="00152702">
        <w:rPr>
          <w:color w:val="0E2841" w:themeColor="text2"/>
          <w:kern w:val="2"/>
          <w:lang w:val="sr-Latn-RS"/>
          <w14:ligatures w14:val="standardContextual"/>
        </w:rPr>
        <w:t>28. od 38. opština ili 73,68 % je ispunilo četvrti minimalni uslov (Opštine moraju potrošiti 75% ili više završnog budžeta za kapitalne investicije).</w:t>
      </w:r>
    </w:p>
    <w:p w14:paraId="70E0018A" w14:textId="19602D1D" w:rsidR="0006116B" w:rsidRPr="00FF3BB3" w:rsidRDefault="000F315E" w:rsidP="00FF3B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color w:val="0E2841" w:themeColor="text2"/>
          <w:kern w:val="2"/>
          <w:lang w:val="sr-Latn-RS"/>
          <w14:ligatures w14:val="standardContextual"/>
        </w:rPr>
      </w:pPr>
      <w:r>
        <w:rPr>
          <w:noProof/>
          <w:lang w:val="en-GB" w:eastAsia="en-GB"/>
        </w:rPr>
        <w:drawing>
          <wp:anchor distT="0" distB="0" distL="114300" distR="114300" simplePos="0" relativeHeight="251802624" behindDoc="0" locked="0" layoutInCell="1" allowOverlap="1" wp14:anchorId="44448DE9" wp14:editId="38B28DCE">
            <wp:simplePos x="0" y="0"/>
            <wp:positionH relativeFrom="column">
              <wp:posOffset>0</wp:posOffset>
            </wp:positionH>
            <wp:positionV relativeFrom="paragraph">
              <wp:posOffset>99695</wp:posOffset>
            </wp:positionV>
            <wp:extent cx="3676650" cy="2724150"/>
            <wp:effectExtent l="0" t="0" r="0" b="0"/>
            <wp:wrapSquare wrapText="bothSides"/>
            <wp:docPr id="1438" name="Chart 14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BAECEA-C0D8-4F1C-9DF8-30508AD59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CA80171" w14:textId="77777777" w:rsidR="0006116B" w:rsidRPr="00FF3BB3" w:rsidRDefault="0006116B" w:rsidP="00FF3BB3">
      <w:pPr>
        <w:spacing w:before="60" w:line="264" w:lineRule="auto"/>
        <w:jc w:val="both"/>
        <w:rPr>
          <w:rFonts w:cs="Calibri Light"/>
          <w:i/>
          <w:iCs/>
          <w:color w:val="0E2841" w:themeColor="text2"/>
          <w:lang w:val="sr-Latn-RS"/>
        </w:rPr>
      </w:pPr>
    </w:p>
    <w:p w14:paraId="2DA124CA" w14:textId="77777777" w:rsidR="00EF39A0" w:rsidRDefault="00EF39A0" w:rsidP="00FF3BB3">
      <w:pPr>
        <w:spacing w:before="60" w:line="264" w:lineRule="auto"/>
        <w:jc w:val="both"/>
        <w:rPr>
          <w:rFonts w:cs="Calibri Light"/>
          <w:i/>
          <w:iCs/>
          <w:color w:val="0E2841" w:themeColor="text2"/>
          <w:lang w:val="sr-Latn-RS"/>
        </w:rPr>
      </w:pPr>
    </w:p>
    <w:p w14:paraId="0852A5E9" w14:textId="77777777" w:rsidR="00152702" w:rsidRDefault="00152702" w:rsidP="00FF3BB3">
      <w:pPr>
        <w:spacing w:before="60" w:line="264" w:lineRule="auto"/>
        <w:jc w:val="both"/>
        <w:rPr>
          <w:rFonts w:cs="Calibri Light"/>
          <w:i/>
          <w:iCs/>
          <w:color w:val="0E2841" w:themeColor="text2"/>
          <w:lang w:val="sr-Latn-RS"/>
        </w:rPr>
      </w:pPr>
    </w:p>
    <w:p w14:paraId="3785E768" w14:textId="356EDB90" w:rsidR="00152702" w:rsidRDefault="00152702" w:rsidP="00FF3BB3">
      <w:pPr>
        <w:spacing w:before="60" w:line="264" w:lineRule="auto"/>
        <w:jc w:val="both"/>
        <w:rPr>
          <w:rFonts w:cs="Calibri Light"/>
          <w:i/>
          <w:iCs/>
          <w:color w:val="0E2841" w:themeColor="text2"/>
          <w:lang w:val="sr-Latn-RS"/>
        </w:rPr>
      </w:pPr>
    </w:p>
    <w:p w14:paraId="344C4510" w14:textId="51A5B804" w:rsidR="0006116B" w:rsidRPr="00FF3BB3" w:rsidRDefault="00EF39A0" w:rsidP="00FF3BB3">
      <w:pPr>
        <w:spacing w:before="60" w:line="264" w:lineRule="auto"/>
        <w:jc w:val="both"/>
        <w:rPr>
          <w:rFonts w:cs="Calibri Light"/>
          <w:i/>
          <w:iCs/>
          <w:color w:val="0E2841" w:themeColor="text2"/>
          <w:lang w:val="sr-Latn-RS"/>
        </w:rPr>
      </w:pPr>
      <w:r>
        <w:rPr>
          <w:rFonts w:cs="Calibri Light"/>
          <w:i/>
          <w:iCs/>
          <w:color w:val="0E2841" w:themeColor="text2"/>
          <w:lang w:val="sr-Latn-RS"/>
        </w:rPr>
        <w:t xml:space="preserve">Pregled </w:t>
      </w:r>
      <w:r w:rsidR="0006116B" w:rsidRPr="00FF3BB3">
        <w:rPr>
          <w:rFonts w:cs="Calibri Light"/>
          <w:i/>
          <w:iCs/>
          <w:color w:val="0E2841" w:themeColor="text2"/>
          <w:lang w:val="sr-Latn-RS"/>
        </w:rPr>
        <w:t xml:space="preserve">rezultata minimalnih uslova za sve opštine dat je u prilogu broj 1, dok je u prilogu broj 4 dat </w:t>
      </w:r>
      <w:r>
        <w:rPr>
          <w:rFonts w:cs="Calibri Light"/>
          <w:i/>
          <w:iCs/>
          <w:color w:val="0E2841" w:themeColor="text2"/>
          <w:lang w:val="sr-Latn-RS"/>
        </w:rPr>
        <w:t xml:space="preserve">je pregled </w:t>
      </w:r>
      <w:r w:rsidR="0006116B" w:rsidRPr="00FF3BB3">
        <w:rPr>
          <w:rFonts w:cs="Calibri Light"/>
          <w:i/>
          <w:iCs/>
          <w:color w:val="0E2841" w:themeColor="text2"/>
          <w:lang w:val="sr-Latn-RS"/>
        </w:rPr>
        <w:t xml:space="preserve">rezultata za svaku opštinu </w:t>
      </w:r>
      <w:r w:rsidR="00A014B3">
        <w:rPr>
          <w:rFonts w:cs="Calibri Light"/>
          <w:i/>
          <w:iCs/>
          <w:color w:val="0E2841" w:themeColor="text2"/>
          <w:lang w:val="sr-Latn-RS"/>
        </w:rPr>
        <w:t>odvojeno</w:t>
      </w:r>
      <w:r w:rsidR="0006116B" w:rsidRPr="00FF3BB3">
        <w:rPr>
          <w:rFonts w:cs="Calibri Light"/>
          <w:i/>
          <w:iCs/>
          <w:color w:val="0E2841" w:themeColor="text2"/>
          <w:lang w:val="sr-Latn-RS"/>
        </w:rPr>
        <w:t>.</w:t>
      </w:r>
    </w:p>
    <w:p w14:paraId="6D0237B3" w14:textId="77777777" w:rsidR="0006116B" w:rsidRDefault="0006116B" w:rsidP="00FF3BB3">
      <w:pPr>
        <w:spacing w:before="60" w:after="0" w:line="264" w:lineRule="auto"/>
        <w:contextualSpacing/>
        <w:jc w:val="both"/>
        <w:rPr>
          <w:rFonts w:ascii="Aptos" w:hAnsi="Aptos"/>
          <w:kern w:val="2"/>
          <w:sz w:val="21"/>
          <w:szCs w:val="21"/>
          <w:lang w:val="sr-Latn-RS"/>
          <w14:ligatures w14:val="standardContextual"/>
        </w:rPr>
      </w:pPr>
    </w:p>
    <w:p w14:paraId="46BF461D" w14:textId="024F84EB" w:rsidR="00904EC0" w:rsidRDefault="00904EC0" w:rsidP="00FF3BB3">
      <w:pPr>
        <w:spacing w:before="60" w:after="0" w:line="264" w:lineRule="auto"/>
        <w:contextualSpacing/>
        <w:jc w:val="both"/>
        <w:rPr>
          <w:rFonts w:ascii="Aptos" w:hAnsi="Aptos"/>
          <w:kern w:val="2"/>
          <w:sz w:val="21"/>
          <w:szCs w:val="21"/>
          <w:lang w:val="sr-Latn-RS"/>
          <w14:ligatures w14:val="standardContextual"/>
        </w:rPr>
      </w:pPr>
    </w:p>
    <w:p w14:paraId="2E8F2EE7" w14:textId="2A3A2601" w:rsidR="00152702" w:rsidRDefault="00152702" w:rsidP="00FF3BB3">
      <w:pPr>
        <w:spacing w:before="60" w:after="0" w:line="264" w:lineRule="auto"/>
        <w:contextualSpacing/>
        <w:jc w:val="both"/>
        <w:rPr>
          <w:rFonts w:ascii="Aptos" w:hAnsi="Aptos"/>
          <w:kern w:val="2"/>
          <w:sz w:val="21"/>
          <w:szCs w:val="21"/>
          <w:lang w:val="sr-Latn-RS"/>
          <w14:ligatures w14:val="standardContextual"/>
        </w:rPr>
      </w:pPr>
    </w:p>
    <w:p w14:paraId="117BA900" w14:textId="22DAA170" w:rsidR="00152702" w:rsidRDefault="00152702" w:rsidP="00FF3BB3">
      <w:pPr>
        <w:spacing w:before="60" w:after="0" w:line="264" w:lineRule="auto"/>
        <w:contextualSpacing/>
        <w:jc w:val="both"/>
        <w:rPr>
          <w:rFonts w:ascii="Aptos" w:hAnsi="Aptos"/>
          <w:kern w:val="2"/>
          <w:sz w:val="21"/>
          <w:szCs w:val="21"/>
          <w:lang w:val="sr-Latn-RS"/>
          <w14:ligatures w14:val="standardContextual"/>
        </w:rPr>
      </w:pPr>
    </w:p>
    <w:p w14:paraId="20326D7B" w14:textId="2495841B" w:rsidR="0006116B" w:rsidRPr="00FF3BB3" w:rsidRDefault="0006116B" w:rsidP="00FF3BB3">
      <w:pPr>
        <w:pStyle w:val="Caption"/>
        <w:tabs>
          <w:tab w:val="left" w:pos="5676"/>
        </w:tabs>
        <w:jc w:val="both"/>
        <w:rPr>
          <w:lang w:val="sr-Latn-RS"/>
        </w:rPr>
      </w:pPr>
      <w:r w:rsidRPr="00FF3BB3">
        <w:rPr>
          <w:lang w:val="sr-Latn-RS"/>
        </w:rPr>
        <w:tab/>
      </w:r>
    </w:p>
    <w:p w14:paraId="6E566695" w14:textId="77777777" w:rsidR="000F315E" w:rsidRDefault="000F315E" w:rsidP="00FF3BB3">
      <w:pPr>
        <w:tabs>
          <w:tab w:val="left" w:pos="5412"/>
        </w:tabs>
        <w:spacing w:after="0"/>
        <w:rPr>
          <w:color w:val="0E2841" w:themeColor="text2"/>
          <w:kern w:val="2"/>
          <w:lang w:val="sr-Latn-RS"/>
          <w14:ligatures w14:val="standardContextual"/>
        </w:rPr>
      </w:pPr>
    </w:p>
    <w:p w14:paraId="3AC785D6" w14:textId="77777777" w:rsidR="000F315E" w:rsidRDefault="000F315E" w:rsidP="00FF3BB3">
      <w:pPr>
        <w:tabs>
          <w:tab w:val="left" w:pos="5412"/>
        </w:tabs>
        <w:spacing w:after="0"/>
        <w:rPr>
          <w:color w:val="0E2841" w:themeColor="text2"/>
          <w:kern w:val="2"/>
          <w:lang w:val="sr-Latn-RS"/>
          <w14:ligatures w14:val="standardContextual"/>
        </w:rPr>
      </w:pPr>
    </w:p>
    <w:p w14:paraId="52A52384" w14:textId="77777777" w:rsidR="000F315E" w:rsidRDefault="000F315E" w:rsidP="00FF3BB3">
      <w:pPr>
        <w:tabs>
          <w:tab w:val="left" w:pos="5412"/>
        </w:tabs>
        <w:spacing w:after="0"/>
        <w:rPr>
          <w:color w:val="0E2841" w:themeColor="text2"/>
          <w:kern w:val="2"/>
          <w:lang w:val="sr-Latn-RS"/>
          <w14:ligatures w14:val="standardContextual"/>
        </w:rPr>
      </w:pPr>
    </w:p>
    <w:p w14:paraId="3D78E6BB" w14:textId="77777777" w:rsidR="000F315E" w:rsidRDefault="000F315E" w:rsidP="00FF3BB3">
      <w:pPr>
        <w:tabs>
          <w:tab w:val="left" w:pos="5412"/>
        </w:tabs>
        <w:spacing w:after="0"/>
        <w:rPr>
          <w:color w:val="0E2841" w:themeColor="text2"/>
          <w:kern w:val="2"/>
          <w:lang w:val="sr-Latn-RS"/>
          <w14:ligatures w14:val="standardContextual"/>
        </w:rPr>
      </w:pPr>
    </w:p>
    <w:p w14:paraId="2B0BA8C4" w14:textId="77777777" w:rsidR="000F315E" w:rsidRDefault="000F315E" w:rsidP="00FF3BB3">
      <w:pPr>
        <w:tabs>
          <w:tab w:val="left" w:pos="5412"/>
        </w:tabs>
        <w:spacing w:after="0"/>
        <w:rPr>
          <w:color w:val="0E2841" w:themeColor="text2"/>
          <w:kern w:val="2"/>
          <w:lang w:val="sr-Latn-RS"/>
          <w14:ligatures w14:val="standardContextual"/>
        </w:rPr>
      </w:pPr>
    </w:p>
    <w:p w14:paraId="7A219629" w14:textId="77777777" w:rsidR="000F315E" w:rsidRDefault="000F315E" w:rsidP="00FF3BB3">
      <w:pPr>
        <w:tabs>
          <w:tab w:val="left" w:pos="5412"/>
        </w:tabs>
        <w:spacing w:after="0"/>
        <w:rPr>
          <w:color w:val="0E2841" w:themeColor="text2"/>
          <w:kern w:val="2"/>
          <w:lang w:val="sr-Latn-RS"/>
          <w14:ligatures w14:val="standardContextual"/>
        </w:rPr>
      </w:pPr>
    </w:p>
    <w:p w14:paraId="618BD43E" w14:textId="77777777" w:rsidR="000F315E" w:rsidRDefault="000F315E" w:rsidP="00FF3BB3">
      <w:pPr>
        <w:tabs>
          <w:tab w:val="left" w:pos="5412"/>
        </w:tabs>
        <w:spacing w:after="0"/>
        <w:rPr>
          <w:color w:val="0E2841" w:themeColor="text2"/>
          <w:kern w:val="2"/>
          <w:lang w:val="sr-Latn-RS"/>
          <w14:ligatures w14:val="standardContextual"/>
        </w:rPr>
      </w:pPr>
    </w:p>
    <w:p w14:paraId="3C942962" w14:textId="77777777" w:rsidR="000F315E" w:rsidRDefault="000F315E" w:rsidP="00FF3BB3">
      <w:pPr>
        <w:tabs>
          <w:tab w:val="left" w:pos="5412"/>
        </w:tabs>
        <w:spacing w:after="0"/>
        <w:rPr>
          <w:color w:val="0E2841" w:themeColor="text2"/>
          <w:kern w:val="2"/>
          <w:lang w:val="sr-Latn-RS"/>
          <w14:ligatures w14:val="standardContextual"/>
        </w:rPr>
      </w:pPr>
    </w:p>
    <w:p w14:paraId="499ED336" w14:textId="0CB32927" w:rsidR="0006116B" w:rsidRPr="00FF3BB3" w:rsidRDefault="000F315E" w:rsidP="00FF3BB3">
      <w:pPr>
        <w:tabs>
          <w:tab w:val="left" w:pos="5412"/>
        </w:tabs>
        <w:spacing w:after="0"/>
        <w:rPr>
          <w:color w:val="0E2841" w:themeColor="text2"/>
          <w:kern w:val="2"/>
          <w:lang w:val="sr-Latn-RS"/>
          <w14:ligatures w14:val="standardContextual"/>
        </w:rPr>
      </w:pPr>
      <w:r>
        <w:rPr>
          <w:noProof/>
          <w:lang w:val="en-GB" w:eastAsia="en-GB"/>
          <w14:ligatures w14:val="standardContextual"/>
        </w:rPr>
        <w:lastRenderedPageBreak/>
        <w:drawing>
          <wp:anchor distT="0" distB="0" distL="114300" distR="114300" simplePos="0" relativeHeight="251803648" behindDoc="0" locked="0" layoutInCell="1" allowOverlap="1" wp14:anchorId="3E28AF0D" wp14:editId="7C5E30FB">
            <wp:simplePos x="0" y="0"/>
            <wp:positionH relativeFrom="column">
              <wp:posOffset>0</wp:posOffset>
            </wp:positionH>
            <wp:positionV relativeFrom="paragraph">
              <wp:posOffset>0</wp:posOffset>
            </wp:positionV>
            <wp:extent cx="3190875" cy="2590800"/>
            <wp:effectExtent l="0" t="0" r="9525" b="0"/>
            <wp:wrapSquare wrapText="bothSides"/>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42B7AE6-FDAE-45D6-8FCE-94799E296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A014B3">
        <w:rPr>
          <w:color w:val="0E2841" w:themeColor="text2"/>
          <w:kern w:val="2"/>
          <w:lang w:val="sr-Latn-RS"/>
          <w14:ligatures w14:val="standardContextual"/>
        </w:rPr>
        <w:t>K</w:t>
      </w:r>
      <w:r w:rsidR="0006116B" w:rsidRPr="00FF3BB3">
        <w:rPr>
          <w:color w:val="0E2841" w:themeColor="text2"/>
          <w:kern w:val="2"/>
          <w:lang w:val="sr-Latn-RS"/>
          <w14:ligatures w14:val="standardContextual"/>
        </w:rPr>
        <w:t xml:space="preserve">ao što se </w:t>
      </w:r>
      <w:r w:rsidR="00A014B3">
        <w:rPr>
          <w:color w:val="0E2841" w:themeColor="text2"/>
          <w:kern w:val="2"/>
          <w:lang w:val="sr-Latn-RS"/>
          <w14:ligatures w14:val="standardContextual"/>
        </w:rPr>
        <w:t xml:space="preserve">može </w:t>
      </w:r>
      <w:r w:rsidR="0006116B" w:rsidRPr="00FF3BB3">
        <w:rPr>
          <w:color w:val="0E2841" w:themeColor="text2"/>
          <w:kern w:val="2"/>
          <w:lang w:val="sr-Latn-RS"/>
          <w14:ligatures w14:val="standardContextual"/>
        </w:rPr>
        <w:t>vid</w:t>
      </w:r>
      <w:r w:rsidR="00A014B3">
        <w:rPr>
          <w:color w:val="0E2841" w:themeColor="text2"/>
          <w:kern w:val="2"/>
          <w:lang w:val="sr-Latn-RS"/>
          <w14:ligatures w14:val="standardContextual"/>
        </w:rPr>
        <w:t>et</w:t>
      </w:r>
      <w:r w:rsidR="0006116B" w:rsidRPr="00FF3BB3">
        <w:rPr>
          <w:color w:val="0E2841" w:themeColor="text2"/>
          <w:kern w:val="2"/>
          <w:lang w:val="sr-Latn-RS"/>
          <w14:ligatures w14:val="standardContextual"/>
        </w:rPr>
        <w:t>i iz grafikona za 38 opština;</w:t>
      </w:r>
    </w:p>
    <w:p w14:paraId="6D199C0D" w14:textId="78453A3F" w:rsidR="0006116B" w:rsidRPr="00FF3BB3" w:rsidRDefault="0006116B" w:rsidP="009D7ADD">
      <w:pPr>
        <w:pStyle w:val="ListParagraph"/>
        <w:numPr>
          <w:ilvl w:val="0"/>
          <w:numId w:val="2"/>
        </w:numPr>
        <w:tabs>
          <w:tab w:val="left" w:pos="5412"/>
        </w:tabs>
        <w:spacing w:after="0"/>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4 minimalna uslova je ispunilo </w:t>
      </w:r>
      <w:r w:rsidR="000F315E">
        <w:rPr>
          <w:color w:val="0E2841" w:themeColor="text2"/>
          <w:kern w:val="2"/>
          <w:lang w:val="sr-Latn-RS"/>
          <w14:ligatures w14:val="standardContextual"/>
        </w:rPr>
        <w:t>5</w:t>
      </w:r>
      <w:r w:rsidRPr="00FF3BB3">
        <w:rPr>
          <w:color w:val="0E2841" w:themeColor="text2"/>
          <w:kern w:val="2"/>
          <w:lang w:val="sr-Latn-RS"/>
          <w14:ligatures w14:val="standardContextual"/>
        </w:rPr>
        <w:t xml:space="preserve"> opšt</w:t>
      </w:r>
      <w:r w:rsidR="00A014B3">
        <w:rPr>
          <w:color w:val="0E2841" w:themeColor="text2"/>
          <w:kern w:val="2"/>
          <w:lang w:val="sr-Latn-RS"/>
          <w14:ligatures w14:val="standardContextual"/>
        </w:rPr>
        <w:t xml:space="preserve">ina ili </w:t>
      </w:r>
      <w:r w:rsidR="000F315E">
        <w:rPr>
          <w:color w:val="0E2841" w:themeColor="text2"/>
          <w:kern w:val="2"/>
          <w:lang w:val="sr-Latn-RS"/>
          <w14:ligatures w14:val="standardContextual"/>
        </w:rPr>
        <w:t xml:space="preserve">13,15 </w:t>
      </w:r>
      <w:r w:rsidR="00A014B3">
        <w:rPr>
          <w:color w:val="0E2841" w:themeColor="text2"/>
          <w:kern w:val="2"/>
          <w:lang w:val="sr-Latn-RS"/>
          <w14:ligatures w14:val="standardContextual"/>
        </w:rPr>
        <w:t>%, koje su korisnice</w:t>
      </w:r>
      <w:r w:rsidRPr="00FF3BB3">
        <w:rPr>
          <w:color w:val="0E2841" w:themeColor="text2"/>
          <w:kern w:val="2"/>
          <w:lang w:val="sr-Latn-RS"/>
          <w14:ligatures w14:val="standardContextual"/>
        </w:rPr>
        <w:t xml:space="preserve"> </w:t>
      </w:r>
      <w:r w:rsidR="00CA2E28">
        <w:rPr>
          <w:color w:val="0E2841" w:themeColor="text2"/>
          <w:kern w:val="2"/>
          <w:lang w:val="sr-Latn-RS"/>
          <w14:ligatures w14:val="standardContextual"/>
        </w:rPr>
        <w:t>GOU</w:t>
      </w:r>
      <w:r w:rsidRPr="00FF3BB3">
        <w:rPr>
          <w:color w:val="0E2841" w:themeColor="text2"/>
          <w:kern w:val="2"/>
          <w:lang w:val="sr-Latn-RS"/>
          <w14:ligatures w14:val="standardContextual"/>
        </w:rPr>
        <w:t xml:space="preserve"> za fiskalnu 2025. godinu;</w:t>
      </w:r>
    </w:p>
    <w:p w14:paraId="0A848BF9" w14:textId="14E020E9" w:rsidR="0006116B" w:rsidRPr="00FF3BB3" w:rsidRDefault="0006116B" w:rsidP="009D7ADD">
      <w:pPr>
        <w:pStyle w:val="ListParagraph"/>
        <w:numPr>
          <w:ilvl w:val="0"/>
          <w:numId w:val="2"/>
        </w:numPr>
        <w:tabs>
          <w:tab w:val="left" w:pos="5412"/>
        </w:tabs>
        <w:spacing w:after="0"/>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3 minimalna uslova ispunilo je </w:t>
      </w:r>
      <w:r w:rsidR="000F315E">
        <w:rPr>
          <w:color w:val="0E2841" w:themeColor="text2"/>
          <w:kern w:val="2"/>
          <w:lang w:val="sr-Latn-RS"/>
          <w14:ligatures w14:val="standardContextual"/>
        </w:rPr>
        <w:t>21</w:t>
      </w:r>
      <w:r w:rsidRPr="00FF3BB3">
        <w:rPr>
          <w:color w:val="0E2841" w:themeColor="text2"/>
          <w:kern w:val="2"/>
          <w:lang w:val="sr-Latn-RS"/>
          <w14:ligatures w14:val="standardContextual"/>
        </w:rPr>
        <w:t xml:space="preserve"> opština ili </w:t>
      </w:r>
      <w:r w:rsidR="000F315E">
        <w:rPr>
          <w:color w:val="0E2841" w:themeColor="text2"/>
          <w:kern w:val="2"/>
          <w:lang w:val="sr-Latn-RS"/>
          <w14:ligatures w14:val="standardContextual"/>
        </w:rPr>
        <w:t>55,3</w:t>
      </w:r>
      <w:r w:rsidRPr="00FF3BB3">
        <w:rPr>
          <w:color w:val="0E2841" w:themeColor="text2"/>
          <w:kern w:val="2"/>
          <w:lang w:val="sr-Latn-RS"/>
          <w14:ligatures w14:val="standardContextual"/>
        </w:rPr>
        <w:t xml:space="preserve">%. </w:t>
      </w:r>
    </w:p>
    <w:p w14:paraId="19FA7CA4" w14:textId="4770E416" w:rsidR="0006116B" w:rsidRPr="00FF3BB3" w:rsidRDefault="0006116B" w:rsidP="009D7ADD">
      <w:pPr>
        <w:pStyle w:val="ListParagraph"/>
        <w:numPr>
          <w:ilvl w:val="0"/>
          <w:numId w:val="2"/>
        </w:numPr>
        <w:tabs>
          <w:tab w:val="left" w:pos="5412"/>
        </w:tabs>
        <w:spacing w:after="0"/>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2 minimalna uslova je ispunilo </w:t>
      </w:r>
      <w:r w:rsidR="000F315E">
        <w:rPr>
          <w:color w:val="0E2841" w:themeColor="text2"/>
          <w:kern w:val="2"/>
          <w:lang w:val="sr-Latn-RS"/>
          <w14:ligatures w14:val="standardContextual"/>
        </w:rPr>
        <w:t>7</w:t>
      </w:r>
      <w:r w:rsidRPr="00FF3BB3">
        <w:rPr>
          <w:color w:val="0E2841" w:themeColor="text2"/>
          <w:kern w:val="2"/>
          <w:lang w:val="sr-Latn-RS"/>
          <w14:ligatures w14:val="standardContextual"/>
        </w:rPr>
        <w:t xml:space="preserve"> opština ili </w:t>
      </w:r>
      <w:r w:rsidR="000F315E">
        <w:rPr>
          <w:color w:val="0E2841" w:themeColor="text2"/>
          <w:kern w:val="2"/>
          <w:lang w:val="sr-Latn-RS"/>
          <w14:ligatures w14:val="standardContextual"/>
        </w:rPr>
        <w:t>18,4</w:t>
      </w:r>
      <w:r w:rsidRPr="00FF3BB3">
        <w:rPr>
          <w:color w:val="0E2841" w:themeColor="text2"/>
          <w:kern w:val="2"/>
          <w:lang w:val="sr-Latn-RS"/>
          <w14:ligatures w14:val="standardContextual"/>
        </w:rPr>
        <w:t>%;</w:t>
      </w:r>
    </w:p>
    <w:p w14:paraId="398C675C" w14:textId="2A3A772B" w:rsidR="0006116B" w:rsidRPr="00FF3BB3" w:rsidRDefault="0006116B" w:rsidP="009D7ADD">
      <w:pPr>
        <w:pStyle w:val="ListParagraph"/>
        <w:numPr>
          <w:ilvl w:val="0"/>
          <w:numId w:val="2"/>
        </w:numPr>
        <w:tabs>
          <w:tab w:val="left" w:pos="5412"/>
        </w:tabs>
        <w:jc w:val="both"/>
        <w:rPr>
          <w:color w:val="0E2841" w:themeColor="text2"/>
          <w:kern w:val="2"/>
          <w:lang w:val="sr-Latn-RS"/>
          <w14:ligatures w14:val="standardContextual"/>
        </w:rPr>
      </w:pPr>
      <w:r w:rsidRPr="00FF3BB3">
        <w:rPr>
          <w:color w:val="0E2841" w:themeColor="text2"/>
          <w:kern w:val="2"/>
          <w:lang w:val="sr-Latn-RS"/>
          <w14:ligatures w14:val="standardContextual"/>
        </w:rPr>
        <w:t xml:space="preserve">1 minimalni uslov su ispunile 4 opštine ili 10,5%. </w:t>
      </w:r>
    </w:p>
    <w:p w14:paraId="5A660EB6" w14:textId="62CCB0C5" w:rsidR="0006116B" w:rsidRDefault="0006116B" w:rsidP="009D7ADD">
      <w:pPr>
        <w:pStyle w:val="ListParagraph"/>
        <w:numPr>
          <w:ilvl w:val="0"/>
          <w:numId w:val="2"/>
        </w:numPr>
        <w:tabs>
          <w:tab w:val="left" w:pos="5412"/>
        </w:tabs>
        <w:rPr>
          <w:color w:val="0E2841" w:themeColor="text2"/>
          <w:kern w:val="2"/>
          <w:lang w:val="sr-Latn-RS"/>
          <w14:ligatures w14:val="standardContextual"/>
        </w:rPr>
      </w:pPr>
      <w:r w:rsidRPr="00FF3BB3">
        <w:rPr>
          <w:color w:val="0E2841" w:themeColor="text2"/>
          <w:kern w:val="2"/>
          <w:lang w:val="sr-Latn-RS"/>
          <w14:ligatures w14:val="standardContextual"/>
        </w:rPr>
        <w:t xml:space="preserve">Nije postignut minimalni uslov od strane </w:t>
      </w:r>
      <w:r w:rsidR="00A014B3">
        <w:rPr>
          <w:color w:val="0E2841" w:themeColor="text2"/>
          <w:kern w:val="2"/>
          <w:lang w:val="sr-Latn-RS"/>
          <w14:ligatures w14:val="standardContextual"/>
        </w:rPr>
        <w:t xml:space="preserve">jedne </w:t>
      </w:r>
      <w:r w:rsidRPr="00FF3BB3">
        <w:rPr>
          <w:color w:val="0E2841" w:themeColor="text2"/>
          <w:kern w:val="2"/>
          <w:lang w:val="sr-Latn-RS"/>
          <w14:ligatures w14:val="standardContextual"/>
        </w:rPr>
        <w:t>opštine ili 2,6%.</w:t>
      </w:r>
    </w:p>
    <w:p w14:paraId="75B8AEA9" w14:textId="77777777" w:rsidR="00855DEA" w:rsidRPr="00FF3BB3" w:rsidRDefault="00855DEA" w:rsidP="00855DEA">
      <w:pPr>
        <w:pStyle w:val="ListParagraph"/>
        <w:tabs>
          <w:tab w:val="left" w:pos="5412"/>
        </w:tabs>
        <w:rPr>
          <w:color w:val="0E2841" w:themeColor="text2"/>
          <w:kern w:val="2"/>
          <w:lang w:val="sr-Latn-RS"/>
          <w14:ligatures w14:val="standardContextual"/>
        </w:rPr>
      </w:pPr>
    </w:p>
    <w:p w14:paraId="65537916" w14:textId="77777777" w:rsidR="000F315E" w:rsidRDefault="000F315E" w:rsidP="00FF3BB3">
      <w:pPr>
        <w:pStyle w:val="Caption"/>
        <w:keepNext/>
        <w:rPr>
          <w:lang w:val="sr-Latn-RS"/>
        </w:rPr>
      </w:pPr>
    </w:p>
    <w:p w14:paraId="184F313D" w14:textId="4E59277E" w:rsidR="0006116B" w:rsidRPr="00FF3BB3" w:rsidRDefault="0006116B" w:rsidP="00FF3BB3">
      <w:pPr>
        <w:pStyle w:val="Caption"/>
        <w:keepNext/>
        <w:rPr>
          <w:lang w:val="sr-Latn-RS"/>
        </w:rPr>
      </w:pPr>
      <w:r w:rsidRPr="00FF3BB3">
        <w:rPr>
          <w:lang w:val="sr-Latn-RS"/>
        </w:rPr>
        <w:t xml:space="preserve">Tabela </w:t>
      </w:r>
      <w:r w:rsidR="00C274C4" w:rsidRPr="00FF3BB3">
        <w:rPr>
          <w:noProof/>
          <w:lang w:val="sr-Latn-RS"/>
        </w:rPr>
        <w:fldChar w:fldCharType="begin"/>
      </w:r>
      <w:r w:rsidR="00C274C4" w:rsidRPr="00FF3BB3">
        <w:rPr>
          <w:noProof/>
          <w:lang w:val="sr-Latn-RS"/>
        </w:rPr>
        <w:instrText xml:space="preserve"> SEQ Table \* ARABIC </w:instrText>
      </w:r>
      <w:r w:rsidR="00C274C4" w:rsidRPr="00FF3BB3">
        <w:rPr>
          <w:noProof/>
          <w:lang w:val="sr-Latn-RS"/>
        </w:rPr>
        <w:fldChar w:fldCharType="separate"/>
      </w:r>
      <w:r w:rsidR="005A6260">
        <w:rPr>
          <w:noProof/>
          <w:lang w:val="sr-Latn-RS"/>
        </w:rPr>
        <w:t>3</w:t>
      </w:r>
      <w:r w:rsidR="00C274C4" w:rsidRPr="00FF3BB3">
        <w:rPr>
          <w:noProof/>
          <w:lang w:val="sr-Latn-RS"/>
        </w:rPr>
        <w:fldChar w:fldCharType="end"/>
      </w:r>
      <w:r w:rsidR="000F315E">
        <w:rPr>
          <w:noProof/>
          <w:lang w:val="sr-Latn-RS"/>
        </w:rPr>
        <w:t xml:space="preserve"> </w:t>
      </w:r>
      <w:r w:rsidRPr="00FF3BB3">
        <w:rPr>
          <w:lang w:val="sr-Latn-RS"/>
        </w:rPr>
        <w:t xml:space="preserve">Opštine koje su ispunile </w:t>
      </w:r>
      <w:r w:rsidR="00855DEA" w:rsidRPr="00FF3BB3">
        <w:rPr>
          <w:lang w:val="sr-Latn-RS"/>
        </w:rPr>
        <w:t xml:space="preserve">minimalne uslove </w:t>
      </w:r>
      <w:r w:rsidRPr="00FF3BB3">
        <w:rPr>
          <w:lang w:val="sr-Latn-RS"/>
        </w:rPr>
        <w:t xml:space="preserve">4, 3, 2, 1 ili nisu ispunile </w:t>
      </w:r>
      <w:r w:rsidR="00855DEA">
        <w:rPr>
          <w:lang w:val="sr-Latn-RS"/>
        </w:rPr>
        <w:t>nijedan minimalni uslov</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6"/>
        <w:gridCol w:w="1911"/>
        <w:gridCol w:w="2144"/>
        <w:gridCol w:w="1820"/>
        <w:gridCol w:w="1139"/>
        <w:gridCol w:w="1303"/>
      </w:tblGrid>
      <w:tr w:rsidR="000F315E" w14:paraId="22D1E57D" w14:textId="77777777" w:rsidTr="000F315E">
        <w:trPr>
          <w:trHeight w:val="517"/>
        </w:trPr>
        <w:tc>
          <w:tcPr>
            <w:tcW w:w="1606" w:type="dxa"/>
          </w:tcPr>
          <w:p w14:paraId="46511079"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Minimalni uslovi</w:t>
            </w:r>
          </w:p>
        </w:tc>
        <w:tc>
          <w:tcPr>
            <w:tcW w:w="1911" w:type="dxa"/>
          </w:tcPr>
          <w:p w14:paraId="2EF1C0C8"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MU4</w:t>
            </w:r>
          </w:p>
        </w:tc>
        <w:tc>
          <w:tcPr>
            <w:tcW w:w="2144" w:type="dxa"/>
          </w:tcPr>
          <w:p w14:paraId="0B7D95CC"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MU3</w:t>
            </w:r>
          </w:p>
        </w:tc>
        <w:tc>
          <w:tcPr>
            <w:tcW w:w="1820" w:type="dxa"/>
          </w:tcPr>
          <w:p w14:paraId="6BE85E1E"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MU2</w:t>
            </w:r>
          </w:p>
        </w:tc>
        <w:tc>
          <w:tcPr>
            <w:tcW w:w="1139" w:type="dxa"/>
          </w:tcPr>
          <w:p w14:paraId="4C6F88C7"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MU1</w:t>
            </w:r>
          </w:p>
        </w:tc>
        <w:tc>
          <w:tcPr>
            <w:tcW w:w="1303" w:type="dxa"/>
          </w:tcPr>
          <w:p w14:paraId="6DDF1913"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Nijedan MU</w:t>
            </w:r>
          </w:p>
        </w:tc>
      </w:tr>
      <w:tr w:rsidR="000F315E" w14:paraId="26185C9E" w14:textId="77777777" w:rsidTr="000F315E">
        <w:trPr>
          <w:trHeight w:val="1800"/>
        </w:trPr>
        <w:tc>
          <w:tcPr>
            <w:tcW w:w="1606" w:type="dxa"/>
          </w:tcPr>
          <w:p w14:paraId="695DC25A" w14:textId="77777777" w:rsidR="000F315E" w:rsidRPr="00AB49CD" w:rsidRDefault="000F315E" w:rsidP="00816331">
            <w:pPr>
              <w:tabs>
                <w:tab w:val="left" w:pos="5412"/>
              </w:tabs>
              <w:jc w:val="center"/>
              <w:rPr>
                <w:rFonts w:ascii="Aptos" w:hAnsi="Aptos" w:cs="Times New Roman"/>
                <w:b/>
                <w:bCs/>
                <w:color w:val="0F4761" w:themeColor="accent1" w:themeShade="BF"/>
                <w:kern w:val="2"/>
                <w:sz w:val="20"/>
                <w:szCs w:val="20"/>
                <w:lang w:val="sq-AL"/>
                <w14:ligatures w14:val="standardContextual"/>
              </w:rPr>
            </w:pPr>
            <w:r w:rsidRPr="00AB49CD">
              <w:rPr>
                <w:rFonts w:ascii="Aptos" w:hAnsi="Aptos" w:cs="Times New Roman"/>
                <w:b/>
                <w:bCs/>
                <w:color w:val="0F4761" w:themeColor="accent1" w:themeShade="BF"/>
                <w:kern w:val="2"/>
                <w:sz w:val="20"/>
                <w:szCs w:val="20"/>
                <w:lang w:val="sq-AL"/>
                <w14:ligatures w14:val="standardContextual"/>
              </w:rPr>
              <w:t>Opštine</w:t>
            </w:r>
          </w:p>
        </w:tc>
        <w:tc>
          <w:tcPr>
            <w:tcW w:w="1911" w:type="dxa"/>
          </w:tcPr>
          <w:p w14:paraId="4CF5DDA5" w14:textId="77777777" w:rsidR="000F315E" w:rsidRDefault="000F315E" w:rsidP="00816331">
            <w:pPr>
              <w:pStyle w:val="TableParagraph"/>
              <w:spacing w:before="2"/>
              <w:ind w:left="107"/>
              <w:jc w:val="left"/>
              <w:rPr>
                <w:sz w:val="20"/>
              </w:rPr>
            </w:pPr>
            <w:r w:rsidRPr="00AB49CD">
              <w:rPr>
                <w:rFonts w:ascii="Aptos" w:hAnsi="Aptos"/>
                <w:color w:val="0F4761" w:themeColor="accent1" w:themeShade="BF"/>
                <w:kern w:val="2"/>
                <w:sz w:val="20"/>
                <w:szCs w:val="20"/>
                <w14:ligatures w14:val="standardContextual"/>
              </w:rPr>
              <w:t>Dragaš,Orahovac, Klina, Mamuša i Parteš</w:t>
            </w:r>
          </w:p>
        </w:tc>
        <w:tc>
          <w:tcPr>
            <w:tcW w:w="2144" w:type="dxa"/>
          </w:tcPr>
          <w:p w14:paraId="0F44F2D0" w14:textId="77777777" w:rsidR="000F315E" w:rsidRDefault="000F315E" w:rsidP="00816331">
            <w:pPr>
              <w:pStyle w:val="TableParagraph"/>
              <w:spacing w:before="1" w:line="252" w:lineRule="auto"/>
              <w:ind w:left="107" w:right="494"/>
              <w:jc w:val="left"/>
              <w:rPr>
                <w:sz w:val="20"/>
              </w:rPr>
            </w:pPr>
            <w:r>
              <w:rPr>
                <w:rFonts w:ascii="Aptos" w:hAnsi="Aptos"/>
                <w:color w:val="0F4761" w:themeColor="accent1" w:themeShade="BF"/>
                <w:kern w:val="2"/>
                <w:sz w:val="20"/>
                <w:szCs w:val="20"/>
                <w14:ligatures w14:val="standardContextual"/>
              </w:rPr>
              <w:t>De</w:t>
            </w:r>
            <w:r>
              <w:rPr>
                <w:rFonts w:ascii="Aptos" w:hAnsi="Aptos"/>
                <w:color w:val="0F4761" w:themeColor="accent1" w:themeShade="BF"/>
                <w:kern w:val="2"/>
                <w:sz w:val="20"/>
                <w:szCs w:val="20"/>
                <w:lang w:val="sr-Latn-RS"/>
                <w14:ligatures w14:val="standardContextual"/>
              </w:rPr>
              <w:t>čan, Đakovica, Glogovac, Gnjilane, Istok, Kamenica, Južna Mitrovica, Lipjan, Novo Brdo, Obilić, Peć, Podujevo, Prizren</w:t>
            </w:r>
            <w:r>
              <w:rPr>
                <w:rFonts w:ascii="Aptos" w:hAnsi="Aptos"/>
                <w:color w:val="0F4761" w:themeColor="accent1" w:themeShade="BF"/>
                <w:kern w:val="2"/>
                <w:sz w:val="20"/>
                <w:szCs w:val="20"/>
                <w14:ligatures w14:val="standardContextual"/>
              </w:rPr>
              <w:t>, Srbija, Štimlje Suva Reka, Uroševac, Vitina, Mališevo, Đeneral Janković i Severna Mitrovica.</w:t>
            </w:r>
          </w:p>
        </w:tc>
        <w:tc>
          <w:tcPr>
            <w:tcW w:w="1820" w:type="dxa"/>
          </w:tcPr>
          <w:p w14:paraId="6323D04E" w14:textId="77777777" w:rsidR="000F315E" w:rsidRDefault="000F315E" w:rsidP="00816331">
            <w:pPr>
              <w:pStyle w:val="TableParagraph"/>
              <w:spacing w:before="1" w:line="252" w:lineRule="auto"/>
              <w:ind w:left="106"/>
              <w:jc w:val="left"/>
              <w:rPr>
                <w:sz w:val="20"/>
              </w:rPr>
            </w:pPr>
            <w:r>
              <w:rPr>
                <w:rFonts w:ascii="Aptos" w:hAnsi="Aptos"/>
                <w:color w:val="0F4761" w:themeColor="accent1" w:themeShade="BF"/>
                <w:kern w:val="2"/>
                <w:sz w:val="20"/>
                <w:szCs w:val="20"/>
                <w14:ligatures w14:val="standardContextual"/>
              </w:rPr>
              <w:t>Kačanik, Kosovo Polje, Vučitrn, Junik, Gračanica, Ranilug i Zvečan.</w:t>
            </w:r>
          </w:p>
        </w:tc>
        <w:tc>
          <w:tcPr>
            <w:tcW w:w="1139" w:type="dxa"/>
          </w:tcPr>
          <w:p w14:paraId="6FFB29C2" w14:textId="77777777" w:rsidR="000F315E" w:rsidRDefault="000F315E" w:rsidP="00816331">
            <w:pPr>
              <w:pStyle w:val="TableParagraph"/>
              <w:spacing w:before="1" w:line="252" w:lineRule="auto"/>
              <w:ind w:left="106"/>
              <w:jc w:val="left"/>
              <w:rPr>
                <w:sz w:val="20"/>
              </w:rPr>
            </w:pPr>
            <w:r>
              <w:rPr>
                <w:rFonts w:ascii="Aptos" w:hAnsi="Aptos"/>
                <w:color w:val="0F4761" w:themeColor="accent1" w:themeShade="BF"/>
                <w:kern w:val="2"/>
                <w:sz w:val="20"/>
                <w:szCs w:val="20"/>
                <w14:ligatures w14:val="standardContextual"/>
              </w:rPr>
              <w:t>Priština, Klokot, Zubin Potok i Leposavić</w:t>
            </w:r>
          </w:p>
        </w:tc>
        <w:tc>
          <w:tcPr>
            <w:tcW w:w="1303" w:type="dxa"/>
          </w:tcPr>
          <w:p w14:paraId="117DE71F" w14:textId="77777777" w:rsidR="000F315E" w:rsidRDefault="000F315E" w:rsidP="00816331">
            <w:pPr>
              <w:pStyle w:val="TableParagraph"/>
              <w:spacing w:before="1"/>
              <w:ind w:left="105"/>
              <w:jc w:val="left"/>
              <w:rPr>
                <w:sz w:val="20"/>
              </w:rPr>
            </w:pPr>
            <w:r w:rsidRPr="00AB49CD">
              <w:rPr>
                <w:rFonts w:ascii="Aptos" w:hAnsi="Aptos"/>
                <w:color w:val="0F4761" w:themeColor="accent1" w:themeShade="BF"/>
                <w:kern w:val="2"/>
                <w:sz w:val="20"/>
                <w:szCs w:val="20"/>
                <w14:ligatures w14:val="standardContextual"/>
              </w:rPr>
              <w:t>Štrpce</w:t>
            </w:r>
          </w:p>
        </w:tc>
      </w:tr>
    </w:tbl>
    <w:p w14:paraId="049E4F7B" w14:textId="0D8FF319" w:rsidR="0006116B" w:rsidRDefault="0006116B" w:rsidP="00FF3BB3">
      <w:pPr>
        <w:pStyle w:val="Caption"/>
        <w:rPr>
          <w:noProof/>
          <w:lang w:val="sq-AL" w:eastAsia="sq-AL"/>
          <w14:ligatures w14:val="standardContextual"/>
        </w:rPr>
      </w:pPr>
      <w:r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Pr="00FF3BB3">
        <w:rPr>
          <w:noProof/>
          <w:lang w:val="sr-Latn-RS"/>
        </w:rPr>
        <w:t>4</w:t>
      </w:r>
      <w:r w:rsidR="00C95A7B">
        <w:rPr>
          <w:noProof/>
          <w:lang w:val="sr-Latn-RS"/>
        </w:rPr>
        <w:t>.</w:t>
      </w:r>
      <w:r w:rsidRPr="00FF3BB3">
        <w:rPr>
          <w:noProof/>
          <w:lang w:val="sr-Latn-RS"/>
        </w:rPr>
        <w:t xml:space="preserve"> </w:t>
      </w:r>
      <w:r w:rsidR="00C274C4" w:rsidRPr="00FF3BB3">
        <w:rPr>
          <w:noProof/>
          <w:lang w:val="sr-Latn-RS"/>
        </w:rPr>
        <w:fldChar w:fldCharType="end"/>
      </w:r>
      <w:r w:rsidRPr="00FF3BB3">
        <w:rPr>
          <w:lang w:val="sr-Latn-RS"/>
        </w:rPr>
        <w:t xml:space="preserve">Opštine koje su </w:t>
      </w:r>
      <w:r w:rsidR="00C95A7B">
        <w:rPr>
          <w:lang w:val="sr-Latn-RS"/>
        </w:rPr>
        <w:t>p</w:t>
      </w:r>
      <w:r w:rsidRPr="00FF3BB3">
        <w:rPr>
          <w:lang w:val="sr-Latn-RS"/>
        </w:rPr>
        <w:t xml:space="preserve">ostigle minimalne uslove </w:t>
      </w:r>
      <w:r w:rsidR="00CA2E28">
        <w:rPr>
          <w:lang w:val="sr-Latn-RS"/>
        </w:rPr>
        <w:t>GOU</w:t>
      </w:r>
      <w:r w:rsidRPr="00FF3BB3">
        <w:rPr>
          <w:lang w:val="sr-Latn-RS"/>
        </w:rPr>
        <w:t xml:space="preserve"> </w:t>
      </w:r>
      <w:r w:rsidR="00F41E1B">
        <w:rPr>
          <w:lang w:val="sr-Latn-RS"/>
        </w:rPr>
        <w:t>2024</w:t>
      </w:r>
      <w:r w:rsidRPr="00FF3BB3">
        <w:rPr>
          <w:lang w:val="sr-Latn-RS"/>
        </w:rPr>
        <w:t>-2025</w:t>
      </w:r>
    </w:p>
    <w:p w14:paraId="0D640504" w14:textId="52D9983C" w:rsidR="000F315E" w:rsidRPr="000F315E" w:rsidRDefault="000F315E" w:rsidP="000F315E">
      <w:pPr>
        <w:rPr>
          <w:highlight w:val="lightGray"/>
          <w:lang w:val="sq-AL" w:eastAsia="sq-AL"/>
        </w:rPr>
      </w:pPr>
      <w:r>
        <w:rPr>
          <w:noProof/>
          <w:lang w:val="en-GB" w:eastAsia="en-GB"/>
          <w14:ligatures w14:val="standardContextual"/>
        </w:rPr>
        <w:drawing>
          <wp:anchor distT="0" distB="0" distL="114300" distR="114300" simplePos="0" relativeHeight="251804672" behindDoc="0" locked="0" layoutInCell="1" allowOverlap="1" wp14:anchorId="00B2248C" wp14:editId="4489FF99">
            <wp:simplePos x="0" y="0"/>
            <wp:positionH relativeFrom="column">
              <wp:posOffset>0</wp:posOffset>
            </wp:positionH>
            <wp:positionV relativeFrom="paragraph">
              <wp:posOffset>-635</wp:posOffset>
            </wp:positionV>
            <wp:extent cx="4114800" cy="1843088"/>
            <wp:effectExtent l="0" t="0" r="0" b="5080"/>
            <wp:wrapSquare wrapText="bothSides"/>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335D322-C201-4586-ADE2-42999E457A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85BD3BC" w14:textId="6773A294" w:rsidR="0006116B" w:rsidRPr="00FF3BB3" w:rsidRDefault="009C42AB" w:rsidP="009D3A72">
      <w:pPr>
        <w:tabs>
          <w:tab w:val="left" w:pos="5412"/>
          <w:tab w:val="left" w:pos="6552"/>
        </w:tabs>
        <w:jc w:val="both"/>
        <w:rPr>
          <w:rFonts w:ascii="Aptos" w:hAnsi="Aptos"/>
          <w:color w:val="0F4761" w:themeColor="accent1" w:themeShade="BF"/>
          <w:kern w:val="2"/>
          <w:lang w:val="sr-Latn-RS"/>
          <w14:ligatures w14:val="standardContextual"/>
        </w:rPr>
      </w:pPr>
      <w:r w:rsidRPr="009C42AB">
        <w:rPr>
          <w:rFonts w:ascii="Aptos" w:hAnsi="Aptos"/>
          <w:color w:val="0F4761" w:themeColor="accent1" w:themeShade="BF"/>
          <w:kern w:val="2"/>
          <w:lang w:val="sr-Latn-RS"/>
          <w14:ligatures w14:val="standardContextual"/>
        </w:rPr>
        <w:t>U poređenju sa GO</w:t>
      </w:r>
      <w:r>
        <w:rPr>
          <w:rFonts w:ascii="Aptos" w:hAnsi="Aptos"/>
          <w:color w:val="0F4761" w:themeColor="accent1" w:themeShade="BF"/>
          <w:kern w:val="2"/>
          <w:lang w:val="sr-Latn-RS"/>
          <w14:ligatures w14:val="standardContextual"/>
        </w:rPr>
        <w:t>U</w:t>
      </w:r>
      <w:r w:rsidRPr="009C42AB">
        <w:rPr>
          <w:rFonts w:ascii="Aptos" w:hAnsi="Aptos"/>
          <w:color w:val="0F4761" w:themeColor="accent1" w:themeShade="BF"/>
          <w:kern w:val="2"/>
          <w:lang w:val="sr-Latn-RS"/>
          <w14:ligatures w14:val="standardContextual"/>
        </w:rPr>
        <w:t xml:space="preserve"> 2025, u GO</w:t>
      </w:r>
      <w:r>
        <w:rPr>
          <w:rFonts w:ascii="Aptos" w:hAnsi="Aptos"/>
          <w:color w:val="0F4761" w:themeColor="accent1" w:themeShade="BF"/>
          <w:kern w:val="2"/>
          <w:lang w:val="sr-Latn-RS"/>
          <w14:ligatures w14:val="standardContextual"/>
        </w:rPr>
        <w:t>U</w:t>
      </w:r>
      <w:r w:rsidRPr="009C42AB">
        <w:rPr>
          <w:rFonts w:ascii="Aptos" w:hAnsi="Aptos"/>
          <w:color w:val="0F4761" w:themeColor="accent1" w:themeShade="BF"/>
          <w:kern w:val="2"/>
          <w:lang w:val="sr-Latn-RS"/>
          <w14:ligatures w14:val="standardContextual"/>
        </w:rPr>
        <w:t xml:space="preserve"> 2026 imamo pad broja opština koje su ispunile minimalne uslove. Sa 12 opština u GO</w:t>
      </w:r>
      <w:r>
        <w:rPr>
          <w:rFonts w:ascii="Aptos" w:hAnsi="Aptos"/>
          <w:color w:val="0F4761" w:themeColor="accent1" w:themeShade="BF"/>
          <w:kern w:val="2"/>
          <w:lang w:val="sr-Latn-RS"/>
          <w14:ligatures w14:val="standardContextual"/>
        </w:rPr>
        <w:t>U</w:t>
      </w:r>
      <w:r w:rsidRPr="009C42AB">
        <w:rPr>
          <w:rFonts w:ascii="Aptos" w:hAnsi="Aptos"/>
          <w:color w:val="0F4761" w:themeColor="accent1" w:themeShade="BF"/>
          <w:kern w:val="2"/>
          <w:lang w:val="sr-Latn-RS"/>
          <w14:ligatures w14:val="standardContextual"/>
        </w:rPr>
        <w:t xml:space="preserve"> 2025 na 5 opština u GOO 2026.</w:t>
      </w:r>
    </w:p>
    <w:p w14:paraId="05D6BA07" w14:textId="1380D730" w:rsidR="0006116B" w:rsidRDefault="0006116B" w:rsidP="00FF3BB3">
      <w:pPr>
        <w:tabs>
          <w:tab w:val="left" w:pos="5412"/>
          <w:tab w:val="left" w:pos="6552"/>
        </w:tabs>
        <w:rPr>
          <w:rFonts w:ascii="Aptos" w:hAnsi="Aptos"/>
          <w:kern w:val="2"/>
          <w:lang w:val="sr-Latn-RS"/>
          <w14:ligatures w14:val="standardContextual"/>
        </w:rPr>
      </w:pPr>
    </w:p>
    <w:p w14:paraId="50CC1019" w14:textId="1E9D54F1" w:rsidR="009D3A72" w:rsidRDefault="009D3A72" w:rsidP="00FF3BB3">
      <w:pPr>
        <w:tabs>
          <w:tab w:val="left" w:pos="5412"/>
          <w:tab w:val="left" w:pos="6552"/>
        </w:tabs>
        <w:rPr>
          <w:rFonts w:ascii="Aptos" w:hAnsi="Aptos"/>
          <w:kern w:val="2"/>
          <w:lang w:val="sr-Latn-RS"/>
          <w14:ligatures w14:val="standardContextual"/>
        </w:rPr>
      </w:pPr>
    </w:p>
    <w:p w14:paraId="5CD440C6" w14:textId="77777777" w:rsidR="009D3A72" w:rsidRPr="00FF3BB3" w:rsidRDefault="009D3A72" w:rsidP="00FF3BB3">
      <w:pPr>
        <w:tabs>
          <w:tab w:val="left" w:pos="5412"/>
          <w:tab w:val="left" w:pos="6552"/>
        </w:tabs>
        <w:rPr>
          <w:rFonts w:ascii="Aptos" w:hAnsi="Aptos"/>
          <w:kern w:val="2"/>
          <w:lang w:val="sr-Latn-RS"/>
          <w14:ligatures w14:val="standardContextual"/>
        </w:rPr>
      </w:pPr>
    </w:p>
    <w:p w14:paraId="19AB5325" w14:textId="6832FE96" w:rsidR="0006116B" w:rsidRPr="00FF3BB3" w:rsidRDefault="0006116B" w:rsidP="00FF3BB3">
      <w:pPr>
        <w:keepNext/>
        <w:tabs>
          <w:tab w:val="left" w:pos="540"/>
          <w:tab w:val="left" w:pos="5412"/>
        </w:tabs>
        <w:spacing w:after="0" w:line="240" w:lineRule="auto"/>
        <w:outlineLvl w:val="0"/>
        <w:rPr>
          <w:rFonts w:asciiTheme="majorHAnsi" w:eastAsiaTheme="majorEastAsia" w:hAnsiTheme="majorHAnsi" w:cstheme="majorHAnsi"/>
          <w:b/>
          <w:color w:val="CC9900"/>
          <w:sz w:val="28"/>
          <w:szCs w:val="28"/>
          <w:lang w:val="sr-Latn-RS"/>
        </w:rPr>
      </w:pPr>
      <w:bookmarkStart w:id="13" w:name="_Toc224550092"/>
      <w:r w:rsidRPr="00FF3BB3">
        <w:rPr>
          <w:rFonts w:asciiTheme="majorHAnsi" w:eastAsiaTheme="majorEastAsia" w:hAnsiTheme="majorHAnsi" w:cstheme="majorHAnsi"/>
          <w:b/>
          <w:color w:val="CC9900"/>
          <w:sz w:val="28"/>
          <w:szCs w:val="28"/>
          <w:lang w:val="sr-Latn-RS"/>
        </w:rPr>
        <w:lastRenderedPageBreak/>
        <w:t xml:space="preserve">2.2 Rezultati </w:t>
      </w:r>
      <w:r w:rsidR="009D3A72">
        <w:rPr>
          <w:rFonts w:asciiTheme="majorHAnsi" w:eastAsiaTheme="majorEastAsia" w:hAnsiTheme="majorHAnsi" w:cstheme="majorHAnsi"/>
          <w:b/>
          <w:color w:val="CC9900"/>
          <w:sz w:val="28"/>
          <w:szCs w:val="28"/>
          <w:lang w:val="sr-Latn-RS"/>
        </w:rPr>
        <w:t>pokazatelja</w:t>
      </w:r>
      <w:r w:rsidRPr="00FF3BB3">
        <w:rPr>
          <w:rFonts w:asciiTheme="majorHAnsi" w:eastAsiaTheme="majorEastAsia" w:hAnsiTheme="majorHAnsi" w:cstheme="majorHAnsi"/>
          <w:b/>
          <w:color w:val="CC9900"/>
          <w:sz w:val="28"/>
          <w:szCs w:val="28"/>
          <w:lang w:val="sr-Latn-RS"/>
        </w:rPr>
        <w:t xml:space="preserve"> granta </w:t>
      </w:r>
      <w:r w:rsidR="009D3A72">
        <w:rPr>
          <w:rFonts w:asciiTheme="majorHAnsi" w:eastAsiaTheme="majorEastAsia" w:hAnsiTheme="majorHAnsi" w:cstheme="majorHAnsi"/>
          <w:b/>
          <w:color w:val="CC9900"/>
          <w:sz w:val="28"/>
          <w:szCs w:val="28"/>
          <w:lang w:val="sr-Latn-RS"/>
        </w:rPr>
        <w:t xml:space="preserve">za </w:t>
      </w:r>
      <w:r w:rsidRPr="00FF3BB3">
        <w:rPr>
          <w:rFonts w:asciiTheme="majorHAnsi" w:eastAsiaTheme="majorEastAsia" w:hAnsiTheme="majorHAnsi" w:cstheme="majorHAnsi"/>
          <w:b/>
          <w:color w:val="CC9900"/>
          <w:sz w:val="28"/>
          <w:szCs w:val="28"/>
          <w:lang w:val="sr-Latn-RS"/>
        </w:rPr>
        <w:t>opštinsk</w:t>
      </w:r>
      <w:r w:rsidR="009D3A72">
        <w:rPr>
          <w:rFonts w:asciiTheme="majorHAnsi" w:eastAsiaTheme="majorEastAsia" w:hAnsiTheme="majorHAnsi" w:cstheme="majorHAnsi"/>
          <w:b/>
          <w:color w:val="CC9900"/>
          <w:sz w:val="28"/>
          <w:szCs w:val="28"/>
          <w:lang w:val="sr-Latn-RS"/>
        </w:rPr>
        <w:t>i</w:t>
      </w:r>
      <w:r w:rsidRPr="00FF3BB3">
        <w:rPr>
          <w:rFonts w:asciiTheme="majorHAnsi" w:eastAsiaTheme="majorEastAsia" w:hAnsiTheme="majorHAnsi" w:cstheme="majorHAnsi"/>
          <w:b/>
          <w:color w:val="CC9900"/>
          <w:sz w:val="28"/>
          <w:szCs w:val="28"/>
          <w:lang w:val="sr-Latn-RS"/>
        </w:rPr>
        <w:t xml:space="preserve"> učin</w:t>
      </w:r>
      <w:r w:rsidR="009D3A72">
        <w:rPr>
          <w:rFonts w:asciiTheme="majorHAnsi" w:eastAsiaTheme="majorEastAsia" w:hAnsiTheme="majorHAnsi" w:cstheme="majorHAnsi"/>
          <w:b/>
          <w:color w:val="CC9900"/>
          <w:sz w:val="28"/>
          <w:szCs w:val="28"/>
          <w:lang w:val="sr-Latn-RS"/>
        </w:rPr>
        <w:t>a</w:t>
      </w:r>
      <w:r w:rsidRPr="00FF3BB3">
        <w:rPr>
          <w:rFonts w:asciiTheme="majorHAnsi" w:eastAsiaTheme="majorEastAsia" w:hAnsiTheme="majorHAnsi" w:cstheme="majorHAnsi"/>
          <w:b/>
          <w:color w:val="CC9900"/>
          <w:sz w:val="28"/>
          <w:szCs w:val="28"/>
          <w:lang w:val="sr-Latn-RS"/>
        </w:rPr>
        <w:t>k</w:t>
      </w:r>
      <w:bookmarkEnd w:id="13"/>
    </w:p>
    <w:p w14:paraId="5CA1798C" w14:textId="6C9D0B11" w:rsidR="0006116B" w:rsidRPr="00FF3BB3" w:rsidRDefault="0006116B" w:rsidP="00FF3BB3">
      <w:pPr>
        <w:keepNext/>
        <w:tabs>
          <w:tab w:val="left" w:pos="810"/>
        </w:tabs>
        <w:spacing w:before="240" w:after="0" w:line="240" w:lineRule="auto"/>
        <w:outlineLvl w:val="0"/>
        <w:rPr>
          <w:rFonts w:eastAsia="Times New Roman" w:cs="Calibri Light"/>
          <w:b/>
          <w:color w:val="0E2841" w:themeColor="text2"/>
          <w:sz w:val="24"/>
          <w:szCs w:val="24"/>
          <w:lang w:val="sr-Latn-RS"/>
        </w:rPr>
      </w:pPr>
      <w:bookmarkStart w:id="14" w:name="_Toc224550093"/>
      <w:r w:rsidRPr="00FF3BB3">
        <w:rPr>
          <w:rFonts w:eastAsiaTheme="majorEastAsia" w:cstheme="majorHAnsi"/>
          <w:b/>
          <w:color w:val="0E2841" w:themeColor="text2"/>
          <w:sz w:val="24"/>
          <w:szCs w:val="24"/>
          <w:lang w:val="sr-Latn-RS"/>
        </w:rPr>
        <w:t xml:space="preserve">2.2.1 </w:t>
      </w:r>
      <w:r w:rsidRPr="00FF3BB3">
        <w:rPr>
          <w:rFonts w:eastAsia="Times New Roman" w:cs="Calibri Light"/>
          <w:b/>
          <w:color w:val="0E2841" w:themeColor="text2"/>
          <w:sz w:val="24"/>
          <w:szCs w:val="24"/>
          <w:lang w:val="sr-Latn-RS"/>
        </w:rPr>
        <w:t xml:space="preserve">Opšti rezultati za </w:t>
      </w:r>
      <w:r w:rsidR="009D3A72">
        <w:rPr>
          <w:rFonts w:eastAsia="Times New Roman" w:cs="Calibri Light"/>
          <w:b/>
          <w:color w:val="0E2841" w:themeColor="text2"/>
          <w:sz w:val="24"/>
          <w:szCs w:val="24"/>
          <w:lang w:val="sr-Latn-RS"/>
        </w:rPr>
        <w:t xml:space="preserve">pokazatelja </w:t>
      </w:r>
      <w:r w:rsidRPr="00FF3BB3">
        <w:rPr>
          <w:rFonts w:eastAsia="Times New Roman" w:cs="Calibri Light"/>
          <w:b/>
          <w:color w:val="0E2841" w:themeColor="text2"/>
          <w:sz w:val="24"/>
          <w:szCs w:val="24"/>
          <w:lang w:val="sr-Latn-RS"/>
        </w:rPr>
        <w:t xml:space="preserve">granta </w:t>
      </w:r>
      <w:r w:rsidR="009D3A72">
        <w:rPr>
          <w:rFonts w:eastAsia="Times New Roman" w:cs="Calibri Light"/>
          <w:b/>
          <w:color w:val="0E2841" w:themeColor="text2"/>
          <w:sz w:val="24"/>
          <w:szCs w:val="24"/>
          <w:lang w:val="sr-Latn-RS"/>
        </w:rPr>
        <w:t xml:space="preserve">za </w:t>
      </w:r>
      <w:r w:rsidRPr="00FF3BB3">
        <w:rPr>
          <w:rFonts w:eastAsia="Times New Roman" w:cs="Calibri Light"/>
          <w:b/>
          <w:color w:val="0E2841" w:themeColor="text2"/>
          <w:sz w:val="24"/>
          <w:szCs w:val="24"/>
          <w:lang w:val="sr-Latn-RS"/>
        </w:rPr>
        <w:t>opštinsk</w:t>
      </w:r>
      <w:r w:rsidR="009D3A72">
        <w:rPr>
          <w:rFonts w:eastAsia="Times New Roman" w:cs="Calibri Light"/>
          <w:b/>
          <w:color w:val="0E2841" w:themeColor="text2"/>
          <w:sz w:val="24"/>
          <w:szCs w:val="24"/>
          <w:lang w:val="sr-Latn-RS"/>
        </w:rPr>
        <w:t>i</w:t>
      </w:r>
      <w:r w:rsidRPr="00FF3BB3">
        <w:rPr>
          <w:rFonts w:eastAsia="Times New Roman" w:cs="Calibri Light"/>
          <w:b/>
          <w:color w:val="0E2841" w:themeColor="text2"/>
          <w:sz w:val="24"/>
          <w:szCs w:val="24"/>
          <w:lang w:val="sr-Latn-RS"/>
        </w:rPr>
        <w:t xml:space="preserve"> učin</w:t>
      </w:r>
      <w:r w:rsidR="009D3A72">
        <w:rPr>
          <w:rFonts w:eastAsia="Times New Roman" w:cs="Calibri Light"/>
          <w:b/>
          <w:color w:val="0E2841" w:themeColor="text2"/>
          <w:sz w:val="24"/>
          <w:szCs w:val="24"/>
          <w:lang w:val="sr-Latn-RS"/>
        </w:rPr>
        <w:t>a</w:t>
      </w:r>
      <w:r w:rsidRPr="00FF3BB3">
        <w:rPr>
          <w:rFonts w:eastAsia="Times New Roman" w:cs="Calibri Light"/>
          <w:b/>
          <w:color w:val="0E2841" w:themeColor="text2"/>
          <w:sz w:val="24"/>
          <w:szCs w:val="24"/>
          <w:lang w:val="sr-Latn-RS"/>
        </w:rPr>
        <w:t>k</w:t>
      </w:r>
      <w:bookmarkEnd w:id="14"/>
    </w:p>
    <w:p w14:paraId="39C0D829"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bookmarkStart w:id="15" w:name="_Hlk174606193"/>
    </w:p>
    <w:p w14:paraId="7E6F23AC" w14:textId="77777777" w:rsidR="009C42AB" w:rsidRDefault="009C42AB" w:rsidP="00FF3BB3">
      <w:pPr>
        <w:spacing w:before="60" w:after="0" w:line="264" w:lineRule="auto"/>
        <w:contextualSpacing/>
        <w:jc w:val="both"/>
        <w:rPr>
          <w:color w:val="0E2841" w:themeColor="text2"/>
          <w:kern w:val="2"/>
          <w:highlight w:val="yellow"/>
          <w:lang w:val="sr-Latn-RS"/>
          <w14:ligatures w14:val="standardContextual"/>
        </w:rPr>
      </w:pPr>
    </w:p>
    <w:p w14:paraId="363170BD" w14:textId="426427C7" w:rsidR="0006116B" w:rsidRPr="00FB2AC6" w:rsidRDefault="00E0036D" w:rsidP="00FF3BB3">
      <w:pPr>
        <w:spacing w:before="60" w:after="0" w:line="264" w:lineRule="auto"/>
        <w:contextualSpacing/>
        <w:jc w:val="both"/>
        <w:rPr>
          <w:color w:val="0E2841" w:themeColor="text2"/>
          <w:kern w:val="2"/>
          <w:lang w:val="sr-Latn-RS"/>
          <w14:ligatures w14:val="standardContextual"/>
        </w:rPr>
      </w:pPr>
      <w:r w:rsidRPr="00FB2AC6">
        <w:rPr>
          <w:color w:val="0E2841" w:themeColor="text2"/>
          <w:kern w:val="2"/>
          <w:lang w:val="sr-Latn-RS"/>
          <w14:ligatures w14:val="standardContextual"/>
        </w:rPr>
        <w:t>O učinku za 202</w:t>
      </w:r>
      <w:r w:rsidR="009C42AB" w:rsidRPr="00FB2AC6">
        <w:rPr>
          <w:color w:val="0E2841" w:themeColor="text2"/>
          <w:kern w:val="2"/>
          <w:lang w:val="sr-Latn-RS"/>
          <w14:ligatures w14:val="standardContextual"/>
        </w:rPr>
        <w:t>4</w:t>
      </w:r>
      <w:r w:rsidRPr="00FB2AC6">
        <w:rPr>
          <w:color w:val="0E2841" w:themeColor="text2"/>
          <w:kern w:val="2"/>
          <w:lang w:val="sr-Latn-RS"/>
          <w14:ligatures w14:val="standardContextual"/>
        </w:rPr>
        <w:t xml:space="preserve">. godinu </w:t>
      </w:r>
      <w:r w:rsidR="0006116B" w:rsidRPr="00FB2AC6">
        <w:rPr>
          <w:color w:val="0E2841" w:themeColor="text2"/>
          <w:kern w:val="2"/>
          <w:lang w:val="sr-Latn-RS"/>
          <w14:ligatures w14:val="standardContextual"/>
        </w:rPr>
        <w:t xml:space="preserve">u sistemu upravljanja učinkom opština </w:t>
      </w:r>
      <w:r w:rsidR="00816331" w:rsidRPr="00FB2AC6">
        <w:rPr>
          <w:color w:val="0E2841" w:themeColor="text2"/>
          <w:kern w:val="2"/>
          <w:lang w:val="sr-Latn-RS"/>
          <w14:ligatures w14:val="standardContextual"/>
        </w:rPr>
        <w:t>su izvestile samo 33</w:t>
      </w:r>
      <w:r w:rsidRPr="00FB2AC6">
        <w:rPr>
          <w:color w:val="0E2841" w:themeColor="text2"/>
          <w:kern w:val="2"/>
          <w:lang w:val="sr-Latn-RS"/>
          <w14:ligatures w14:val="standardContextual"/>
        </w:rPr>
        <w:t xml:space="preserve"> opštine</w:t>
      </w:r>
      <w:r w:rsidRPr="00FB2AC6">
        <w:rPr>
          <w:rStyle w:val="FootnoteReference"/>
          <w:rFonts w:cstheme="majorHAnsi"/>
          <w:bCs/>
          <w:color w:val="0E2841" w:themeColor="text2"/>
          <w:lang w:val="sr-Latn-RS"/>
        </w:rPr>
        <w:footnoteReference w:id="1"/>
      </w:r>
      <w:r w:rsidR="0006116B" w:rsidRPr="00FB2AC6">
        <w:rPr>
          <w:color w:val="0E2841" w:themeColor="text2"/>
          <w:kern w:val="2"/>
          <w:lang w:val="sr-Latn-RS"/>
          <w14:ligatures w14:val="standardContextual"/>
        </w:rPr>
        <w:t>. Uprkos činj</w:t>
      </w:r>
      <w:r w:rsidRPr="00FB2AC6">
        <w:rPr>
          <w:color w:val="0E2841" w:themeColor="text2"/>
          <w:kern w:val="2"/>
          <w:lang w:val="sr-Latn-RS"/>
          <w14:ligatures w14:val="standardContextual"/>
        </w:rPr>
        <w:t xml:space="preserve">enici da je </w:t>
      </w:r>
      <w:r w:rsidR="00816331" w:rsidRPr="00FB2AC6">
        <w:rPr>
          <w:color w:val="0E2841" w:themeColor="text2"/>
          <w:kern w:val="2"/>
          <w:lang w:val="sr-Latn-RS"/>
          <w14:ligatures w14:val="standardContextual"/>
        </w:rPr>
        <w:t>5</w:t>
      </w:r>
      <w:r w:rsidRPr="00FB2AC6">
        <w:rPr>
          <w:color w:val="0E2841" w:themeColor="text2"/>
          <w:kern w:val="2"/>
          <w:lang w:val="sr-Latn-RS"/>
          <w14:ligatures w14:val="standardContextual"/>
        </w:rPr>
        <w:t xml:space="preserve"> opština korisnice</w:t>
      </w:r>
      <w:r w:rsidR="0006116B" w:rsidRPr="00FB2AC6">
        <w:rPr>
          <w:color w:val="0E2841" w:themeColor="text2"/>
          <w:kern w:val="2"/>
          <w:lang w:val="sr-Latn-RS"/>
          <w14:ligatures w14:val="standardContextual"/>
        </w:rPr>
        <w:t xml:space="preserve"> </w:t>
      </w:r>
      <w:r w:rsidR="00CA2E28" w:rsidRPr="00FB2AC6">
        <w:rPr>
          <w:color w:val="0E2841" w:themeColor="text2"/>
          <w:kern w:val="2"/>
          <w:lang w:val="sr-Latn-RS"/>
          <w14:ligatures w14:val="standardContextual"/>
        </w:rPr>
        <w:t>GOU</w:t>
      </w:r>
      <w:r w:rsidRPr="00FB2AC6">
        <w:rPr>
          <w:color w:val="0E2841" w:themeColor="text2"/>
          <w:kern w:val="2"/>
          <w:lang w:val="sr-Latn-RS"/>
          <w14:ligatures w14:val="standardContextual"/>
        </w:rPr>
        <w:t>-a</w:t>
      </w:r>
      <w:r w:rsidR="0006116B" w:rsidRPr="00FB2AC6">
        <w:rPr>
          <w:color w:val="0E2841" w:themeColor="text2"/>
          <w:kern w:val="2"/>
          <w:lang w:val="sr-Latn-RS"/>
          <w14:ligatures w14:val="standardContextual"/>
        </w:rPr>
        <w:t>, izmerili smo učinak svih opština. S</w:t>
      </w:r>
      <w:r w:rsidRPr="00FB2AC6">
        <w:rPr>
          <w:color w:val="0E2841" w:themeColor="text2"/>
          <w:kern w:val="2"/>
          <w:lang w:val="sr-Latn-RS"/>
          <w14:ligatures w14:val="standardContextual"/>
        </w:rPr>
        <w:t xml:space="preserve">ažeti </w:t>
      </w:r>
      <w:r w:rsidR="0006116B" w:rsidRPr="00FB2AC6">
        <w:rPr>
          <w:color w:val="0E2841" w:themeColor="text2"/>
          <w:kern w:val="2"/>
          <w:lang w:val="sr-Latn-RS"/>
          <w14:ligatures w14:val="standardContextual"/>
        </w:rPr>
        <w:t xml:space="preserve">rezultati su predstavljeni </w:t>
      </w:r>
      <w:r w:rsidRPr="00FB2AC6">
        <w:rPr>
          <w:color w:val="0E2841" w:themeColor="text2"/>
          <w:kern w:val="2"/>
          <w:lang w:val="sr-Latn-RS"/>
          <w14:ligatures w14:val="standardContextual"/>
        </w:rPr>
        <w:t>u nastavku</w:t>
      </w:r>
      <w:r w:rsidR="0006116B" w:rsidRPr="00FB2AC6">
        <w:rPr>
          <w:rFonts w:ascii="Arial" w:hAnsi="Arial" w:cs="Arial"/>
          <w:color w:val="0E2841" w:themeColor="text2"/>
          <w:kern w:val="2"/>
          <w:lang w:val="sr-Latn-RS"/>
          <w14:ligatures w14:val="standardContextual"/>
        </w:rPr>
        <w:t>˸</w:t>
      </w:r>
    </w:p>
    <w:p w14:paraId="21BEE651" w14:textId="6B3CDBCF" w:rsidR="0006116B" w:rsidRPr="00FB2AC6" w:rsidRDefault="0006116B" w:rsidP="00FF3BB3">
      <w:pPr>
        <w:spacing w:before="60" w:after="0" w:line="264" w:lineRule="auto"/>
        <w:jc w:val="both"/>
        <w:rPr>
          <w:color w:val="0E2841" w:themeColor="text2"/>
          <w:kern w:val="2"/>
          <w:lang w:val="sr-Latn-RS"/>
          <w14:ligatures w14:val="standardContextual"/>
        </w:rPr>
      </w:pPr>
      <w:r w:rsidRPr="00FB2AC6">
        <w:rPr>
          <w:noProof/>
          <w:lang w:val="en-GB" w:eastAsia="en-GB"/>
        </w:rPr>
        <w:drawing>
          <wp:anchor distT="0" distB="0" distL="114300" distR="114300" simplePos="0" relativeHeight="251661312" behindDoc="1" locked="0" layoutInCell="1" allowOverlap="1" wp14:anchorId="793C6530" wp14:editId="1D02E3C4">
            <wp:simplePos x="0" y="0"/>
            <wp:positionH relativeFrom="margin">
              <wp:align>left</wp:align>
            </wp:positionH>
            <wp:positionV relativeFrom="paragraph">
              <wp:posOffset>38735</wp:posOffset>
            </wp:positionV>
            <wp:extent cx="739140" cy="670560"/>
            <wp:effectExtent l="0" t="0" r="3810" b="0"/>
            <wp:wrapThrough wrapText="bothSides">
              <wp:wrapPolygon edited="0">
                <wp:start x="0" y="0"/>
                <wp:lineTo x="0" y="20864"/>
                <wp:lineTo x="21155" y="20864"/>
                <wp:lineTo x="21155" y="0"/>
                <wp:lineTo x="0" y="0"/>
              </wp:wrapPolygon>
            </wp:wrapThrough>
            <wp:docPr id="1340050303" name="Picture 3" descr="3D graph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50303" name="Picture 1340050303" descr="3D graph graphic"/>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9140" cy="670560"/>
                    </a:xfrm>
                    <a:prstGeom prst="rect">
                      <a:avLst/>
                    </a:prstGeom>
                  </pic:spPr>
                </pic:pic>
              </a:graphicData>
            </a:graphic>
            <wp14:sizeRelH relativeFrom="margin">
              <wp14:pctWidth>0</wp14:pctWidth>
            </wp14:sizeRelH>
            <wp14:sizeRelV relativeFrom="margin">
              <wp14:pctHeight>0</wp14:pctHeight>
            </wp14:sizeRelV>
          </wp:anchor>
        </w:drawing>
      </w:r>
      <w:r w:rsidRPr="00FB2AC6">
        <w:rPr>
          <w:b/>
          <w:bCs/>
          <w:color w:val="0E2841" w:themeColor="text2"/>
          <w:kern w:val="2"/>
          <w:lang w:val="sr-Latn-RS"/>
          <w14:ligatures w14:val="standardContextual"/>
        </w:rPr>
        <w:t xml:space="preserve">Ukupan učinak </w:t>
      </w:r>
      <w:r w:rsidR="00816331" w:rsidRPr="00FB2AC6">
        <w:rPr>
          <w:bCs/>
          <w:color w:val="0E2841" w:themeColor="text2"/>
          <w:kern w:val="2"/>
          <w:lang w:val="sr-Latn-RS"/>
          <w14:ligatures w14:val="standardContextual"/>
        </w:rPr>
        <w:t>38 opština u 29</w:t>
      </w:r>
      <w:r w:rsidRPr="00FB2AC6">
        <w:rPr>
          <w:b/>
          <w:bCs/>
          <w:color w:val="0E2841" w:themeColor="text2"/>
          <w:kern w:val="2"/>
          <w:lang w:val="sr-Latn-RS"/>
          <w14:ligatures w14:val="standardContextual"/>
        </w:rPr>
        <w:t xml:space="preserve"> </w:t>
      </w:r>
      <w:r w:rsidR="00E0036D" w:rsidRPr="00FB2AC6">
        <w:rPr>
          <w:color w:val="0E2841" w:themeColor="text2"/>
          <w:kern w:val="2"/>
          <w:lang w:val="sr-Latn-RS"/>
          <w14:ligatures w14:val="standardContextual"/>
        </w:rPr>
        <w:t>pokazatelja</w:t>
      </w:r>
      <w:r w:rsidRPr="00FB2AC6">
        <w:rPr>
          <w:color w:val="0E2841" w:themeColor="text2"/>
          <w:kern w:val="2"/>
          <w:lang w:val="sr-Latn-RS"/>
          <w14:ligatures w14:val="standardContextual"/>
        </w:rPr>
        <w:t xml:space="preserve"> učinka za </w:t>
      </w:r>
      <w:r w:rsidR="00F41E1B" w:rsidRPr="00FB2AC6">
        <w:rPr>
          <w:color w:val="0E2841" w:themeColor="text2"/>
          <w:kern w:val="2"/>
          <w:lang w:val="sr-Latn-RS"/>
          <w14:ligatures w14:val="standardContextual"/>
        </w:rPr>
        <w:t>2024</w:t>
      </w:r>
      <w:r w:rsidRPr="00FB2AC6">
        <w:rPr>
          <w:color w:val="0E2841" w:themeColor="text2"/>
          <w:kern w:val="2"/>
          <w:lang w:val="sr-Latn-RS"/>
          <w14:ligatures w14:val="standardContextual"/>
        </w:rPr>
        <w:t xml:space="preserve">. godinu, </w:t>
      </w:r>
      <w:r w:rsidR="00CA2E28" w:rsidRPr="00FB2AC6">
        <w:rPr>
          <w:color w:val="0E2841" w:themeColor="text2"/>
          <w:kern w:val="2"/>
          <w:lang w:val="sr-Latn-RS"/>
          <w14:ligatures w14:val="standardContextual"/>
        </w:rPr>
        <w:t>GOU</w:t>
      </w:r>
      <w:r w:rsidR="00816331" w:rsidRPr="00FB2AC6">
        <w:rPr>
          <w:color w:val="0E2841" w:themeColor="text2"/>
          <w:kern w:val="2"/>
          <w:lang w:val="sr-Latn-RS"/>
          <w14:ligatures w14:val="standardContextual"/>
        </w:rPr>
        <w:t xml:space="preserve"> 2026</w:t>
      </w:r>
      <w:r w:rsidRPr="00FB2AC6">
        <w:rPr>
          <w:color w:val="0E2841" w:themeColor="text2"/>
          <w:kern w:val="2"/>
          <w:lang w:val="sr-Latn-RS"/>
          <w14:ligatures w14:val="standardContextual"/>
        </w:rPr>
        <w:t xml:space="preserve"> je </w:t>
      </w:r>
      <w:r w:rsidR="00816331" w:rsidRPr="00FB2AC6">
        <w:rPr>
          <w:color w:val="0E2841" w:themeColor="text2"/>
          <w:kern w:val="2"/>
          <w14:ligatures w14:val="standardContextual"/>
        </w:rPr>
        <w:t>41.8</w:t>
      </w:r>
      <w:r w:rsidRPr="00FB2AC6">
        <w:rPr>
          <w:color w:val="0E2841" w:themeColor="text2"/>
          <w:kern w:val="2"/>
          <w:lang w:val="sr-Latn-RS"/>
          <w14:ligatures w14:val="standardContextual"/>
        </w:rPr>
        <w:t xml:space="preserve">% </w:t>
      </w:r>
      <w:bookmarkStart w:id="16" w:name="_Hlk177174118"/>
      <w:bookmarkStart w:id="17" w:name="_Hlk176803538"/>
      <w:r w:rsidR="00E0036D" w:rsidRPr="00FB2AC6">
        <w:rPr>
          <w:color w:val="0E2841" w:themeColor="text2"/>
          <w:kern w:val="2"/>
          <w:lang w:val="sr-Latn-RS"/>
          <w14:ligatures w14:val="standardContextual"/>
        </w:rPr>
        <w:t>(</w:t>
      </w:r>
      <w:r w:rsidR="00816331" w:rsidRPr="00FB2AC6">
        <w:rPr>
          <w:color w:val="0E2841" w:themeColor="text2"/>
          <w:kern w:val="2"/>
          <w:lang w:val="sr-Latn-RS"/>
          <w14:ligatures w14:val="standardContextual"/>
        </w:rPr>
        <w:t>40.9</w:t>
      </w:r>
      <w:r w:rsidRPr="00FB2AC6">
        <w:rPr>
          <w:color w:val="0E2841" w:themeColor="text2"/>
          <w:kern w:val="2"/>
          <w:lang w:val="sr-Latn-RS"/>
          <w14:ligatures w14:val="standardContextual"/>
        </w:rPr>
        <w:t xml:space="preserve"> </w:t>
      </w:r>
      <w:r w:rsidR="00E0036D" w:rsidRPr="00FB2AC6">
        <w:rPr>
          <w:color w:val="0E2841" w:themeColor="text2"/>
          <w:kern w:val="2"/>
          <w:lang w:val="sr-Latn-RS"/>
          <w14:ligatures w14:val="standardContextual"/>
        </w:rPr>
        <w:t xml:space="preserve">bodova </w:t>
      </w:r>
      <w:r w:rsidR="00816331" w:rsidRPr="00FB2AC6">
        <w:rPr>
          <w:color w:val="0E2841" w:themeColor="text2"/>
          <w:kern w:val="2"/>
          <w:lang w:val="sr-Latn-RS"/>
          <w14:ligatures w14:val="standardContextual"/>
        </w:rPr>
        <w:t>od ukupno 98</w:t>
      </w:r>
      <w:r w:rsidRPr="00FB2AC6">
        <w:rPr>
          <w:color w:val="0E2841" w:themeColor="text2"/>
          <w:kern w:val="2"/>
          <w:lang w:val="sr-Latn-RS"/>
          <w14:ligatures w14:val="standardContextual"/>
        </w:rPr>
        <w:t xml:space="preserve"> mogućih </w:t>
      </w:r>
      <w:r w:rsidR="00E0036D" w:rsidRPr="00FB2AC6">
        <w:rPr>
          <w:color w:val="0E2841" w:themeColor="text2"/>
          <w:kern w:val="2"/>
          <w:lang w:val="sr-Latn-RS"/>
          <w14:ligatures w14:val="standardContextual"/>
        </w:rPr>
        <w:t>bodova</w:t>
      </w:r>
      <w:r w:rsidRPr="00FB2AC6">
        <w:rPr>
          <w:color w:val="0E2841" w:themeColor="text2"/>
          <w:kern w:val="2"/>
          <w:lang w:val="sr-Latn-RS"/>
          <w14:ligatures w14:val="standardContextual"/>
        </w:rPr>
        <w:t xml:space="preserve">), dok je prosečan učinak </w:t>
      </w:r>
      <w:r w:rsidR="00816331" w:rsidRPr="00FB2AC6">
        <w:rPr>
          <w:color w:val="0E2841" w:themeColor="text2"/>
          <w:kern w:val="2"/>
          <w:lang w:val="sr-Latn-RS"/>
          <w14:ligatures w14:val="standardContextual"/>
        </w:rPr>
        <w:t>5</w:t>
      </w:r>
      <w:r w:rsidRPr="00FB2AC6">
        <w:rPr>
          <w:color w:val="0E2841" w:themeColor="text2"/>
          <w:kern w:val="2"/>
          <w:lang w:val="sr-Latn-RS"/>
          <w14:ligatures w14:val="standardContextual"/>
        </w:rPr>
        <w:t xml:space="preserve"> opština koje su se kvalifikovale za </w:t>
      </w:r>
      <w:r w:rsidR="00E0036D" w:rsidRPr="00FB2AC6">
        <w:rPr>
          <w:color w:val="0E2841" w:themeColor="text2"/>
          <w:kern w:val="2"/>
          <w:lang w:val="sr-Latn-RS"/>
          <w14:ligatures w14:val="standardContextual"/>
        </w:rPr>
        <w:t>granta opštinskog</w:t>
      </w:r>
      <w:r w:rsidRPr="00FB2AC6">
        <w:rPr>
          <w:color w:val="0E2841" w:themeColor="text2"/>
          <w:kern w:val="2"/>
          <w:lang w:val="sr-Latn-RS"/>
          <w14:ligatures w14:val="standardContextual"/>
        </w:rPr>
        <w:t xml:space="preserve"> učink</w:t>
      </w:r>
      <w:r w:rsidR="00E0036D" w:rsidRPr="00FB2AC6">
        <w:rPr>
          <w:color w:val="0E2841" w:themeColor="text2"/>
          <w:kern w:val="2"/>
          <w:lang w:val="sr-Latn-RS"/>
          <w14:ligatures w14:val="standardContextual"/>
        </w:rPr>
        <w:t>a</w:t>
      </w:r>
      <w:r w:rsidRPr="00FB2AC6">
        <w:rPr>
          <w:color w:val="0E2841" w:themeColor="text2"/>
          <w:kern w:val="2"/>
          <w:lang w:val="sr-Latn-RS"/>
          <w14:ligatures w14:val="standardContextual"/>
        </w:rPr>
        <w:t xml:space="preserve"> iznosi </w:t>
      </w:r>
      <w:r w:rsidR="00816331" w:rsidRPr="00FB2AC6">
        <w:rPr>
          <w:color w:val="0E2841" w:themeColor="text2"/>
          <w:kern w:val="2"/>
          <w:lang w:val="sr-Latn-RS"/>
          <w14:ligatures w14:val="standardContextual"/>
        </w:rPr>
        <w:t>46.3</w:t>
      </w:r>
      <w:r w:rsidRPr="00FB2AC6">
        <w:rPr>
          <w:color w:val="0E2841" w:themeColor="text2"/>
          <w:kern w:val="2"/>
          <w:lang w:val="sr-Latn-RS"/>
          <w14:ligatures w14:val="standardContextual"/>
        </w:rPr>
        <w:t>% (</w:t>
      </w:r>
      <w:r w:rsidR="00816331" w:rsidRPr="00FB2AC6">
        <w:rPr>
          <w:color w:val="0E2841" w:themeColor="text2"/>
          <w:kern w:val="2"/>
          <w:lang w:val="sr-Latn-RS"/>
          <w14:ligatures w14:val="standardContextual"/>
        </w:rPr>
        <w:t>45.4</w:t>
      </w:r>
      <w:r w:rsidRPr="00FB2AC6">
        <w:rPr>
          <w:color w:val="0E2841" w:themeColor="text2"/>
          <w:kern w:val="2"/>
          <w:lang w:val="sr-Latn-RS"/>
          <w14:ligatures w14:val="standardContextual"/>
        </w:rPr>
        <w:t xml:space="preserve"> </w:t>
      </w:r>
      <w:r w:rsidR="00E0036D" w:rsidRPr="00FB2AC6">
        <w:rPr>
          <w:color w:val="0E2841" w:themeColor="text2"/>
          <w:kern w:val="2"/>
          <w:lang w:val="sr-Latn-RS"/>
          <w14:ligatures w14:val="standardContextual"/>
        </w:rPr>
        <w:t>bodova</w:t>
      </w:r>
      <w:r w:rsidR="00816331" w:rsidRPr="00FB2AC6">
        <w:rPr>
          <w:color w:val="0E2841" w:themeColor="text2"/>
          <w:kern w:val="2"/>
          <w:lang w:val="sr-Latn-RS"/>
          <w14:ligatures w14:val="standardContextual"/>
        </w:rPr>
        <w:t xml:space="preserve"> od ukupno 98</w:t>
      </w:r>
      <w:r w:rsidRPr="00FB2AC6">
        <w:rPr>
          <w:color w:val="0E2841" w:themeColor="text2"/>
          <w:kern w:val="2"/>
          <w:lang w:val="sr-Latn-RS"/>
          <w14:ligatures w14:val="standardContextual"/>
        </w:rPr>
        <w:t xml:space="preserve"> mogućih bodova</w:t>
      </w:r>
      <w:bookmarkEnd w:id="16"/>
      <w:r w:rsidRPr="00FB2AC6">
        <w:rPr>
          <w:color w:val="0E2841" w:themeColor="text2"/>
          <w:kern w:val="2"/>
          <w:lang w:val="sr-Latn-RS"/>
          <w14:ligatures w14:val="standardContextual"/>
        </w:rPr>
        <w:t>).</w:t>
      </w:r>
      <w:bookmarkEnd w:id="17"/>
    </w:p>
    <w:p w14:paraId="33967B3B" w14:textId="79F61AEC" w:rsidR="0006116B" w:rsidRPr="00FB2AC6" w:rsidRDefault="0006116B" w:rsidP="00FF3BB3">
      <w:pPr>
        <w:spacing w:before="60" w:after="0" w:line="264" w:lineRule="auto"/>
        <w:jc w:val="both"/>
        <w:rPr>
          <w:color w:val="0E2841" w:themeColor="text2"/>
          <w:kern w:val="2"/>
          <w:lang w:val="sr-Latn-RS"/>
          <w14:ligatures w14:val="standardContextual"/>
        </w:rPr>
      </w:pPr>
      <w:r w:rsidRPr="00FB2AC6">
        <w:rPr>
          <w:noProof/>
          <w:lang w:val="en-GB" w:eastAsia="en-GB"/>
        </w:rPr>
        <w:drawing>
          <wp:anchor distT="0" distB="0" distL="114300" distR="114300" simplePos="0" relativeHeight="251662336" behindDoc="0" locked="0" layoutInCell="1" allowOverlap="1" wp14:anchorId="12E89D77" wp14:editId="00ED87BF">
            <wp:simplePos x="0" y="0"/>
            <wp:positionH relativeFrom="margin">
              <wp:align>left</wp:align>
            </wp:positionH>
            <wp:positionV relativeFrom="paragraph">
              <wp:posOffset>38735</wp:posOffset>
            </wp:positionV>
            <wp:extent cx="762000" cy="510540"/>
            <wp:effectExtent l="0" t="0" r="0" b="3810"/>
            <wp:wrapThrough wrapText="bothSides">
              <wp:wrapPolygon edited="0">
                <wp:start x="0" y="0"/>
                <wp:lineTo x="0" y="20955"/>
                <wp:lineTo x="21060" y="20955"/>
                <wp:lineTo x="21060" y="0"/>
                <wp:lineTo x="0" y="0"/>
              </wp:wrapPolygon>
            </wp:wrapThrough>
            <wp:docPr id="1013863154" name="Picture 4" descr="Pen pointing to a graph on a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63154" name="Picture 1013863154" descr="Pen pointing to a graph on a scre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510540"/>
                    </a:xfrm>
                    <a:prstGeom prst="rect">
                      <a:avLst/>
                    </a:prstGeom>
                  </pic:spPr>
                </pic:pic>
              </a:graphicData>
            </a:graphic>
            <wp14:sizeRelH relativeFrom="margin">
              <wp14:pctWidth>0</wp14:pctWidth>
            </wp14:sizeRelH>
            <wp14:sizeRelV relativeFrom="margin">
              <wp14:pctHeight>0</wp14:pctHeight>
            </wp14:sizeRelV>
          </wp:anchor>
        </w:drawing>
      </w:r>
      <w:r w:rsidR="00E0036D" w:rsidRPr="00FB2AC6">
        <w:rPr>
          <w:color w:val="0E2841" w:themeColor="text2"/>
          <w:kern w:val="2"/>
          <w:lang w:val="sr-Latn-RS"/>
          <w14:ligatures w14:val="standardContextual"/>
        </w:rPr>
        <w:t>U</w:t>
      </w:r>
      <w:r w:rsidR="00816331" w:rsidRPr="00FB2AC6">
        <w:rPr>
          <w:color w:val="0E2841" w:themeColor="text2"/>
          <w:kern w:val="2"/>
          <w:lang w:val="sr-Latn-RS"/>
          <w14:ligatures w14:val="standardContextual"/>
        </w:rPr>
        <w:t xml:space="preserve">činak 38 opština je imao pad u odnosu na prslu godinu. Sa </w:t>
      </w:r>
      <w:r w:rsidR="00816331" w:rsidRPr="00FB2AC6">
        <w:rPr>
          <w:color w:val="0E2841" w:themeColor="text2"/>
          <w:kern w:val="2"/>
          <w14:ligatures w14:val="standardContextual"/>
        </w:rPr>
        <w:t>47.7%  na 41.8% iz 2023 godine i 42.1 iz 2022</w:t>
      </w:r>
      <w:r w:rsidRPr="00FB2AC6">
        <w:rPr>
          <w:color w:val="0E2841" w:themeColor="text2"/>
          <w:kern w:val="2"/>
          <w:lang w:val="sr-Latn-RS"/>
          <w14:ligatures w14:val="standardContextual"/>
        </w:rPr>
        <w:t>.</w:t>
      </w:r>
    </w:p>
    <w:p w14:paraId="2F025D0D" w14:textId="77777777" w:rsidR="0006116B" w:rsidRPr="00FB2AC6" w:rsidRDefault="0006116B" w:rsidP="00FF3BB3">
      <w:pPr>
        <w:spacing w:before="60" w:after="0" w:line="264" w:lineRule="auto"/>
        <w:jc w:val="both"/>
        <w:rPr>
          <w:color w:val="0E2841" w:themeColor="text2"/>
          <w:kern w:val="2"/>
          <w:lang w:val="sr-Latn-RS"/>
          <w14:ligatures w14:val="standardContextual"/>
        </w:rPr>
      </w:pPr>
    </w:p>
    <w:p w14:paraId="08B894AB" w14:textId="3F522486" w:rsidR="0006116B" w:rsidRPr="00FB2AC6" w:rsidRDefault="0006116B" w:rsidP="00FF3BB3">
      <w:pPr>
        <w:spacing w:after="0" w:line="264" w:lineRule="auto"/>
        <w:jc w:val="both"/>
        <w:rPr>
          <w:color w:val="0E2841" w:themeColor="text2"/>
          <w:kern w:val="2"/>
          <w:lang w:val="sr-Latn-RS"/>
          <w14:ligatures w14:val="standardContextual"/>
        </w:rPr>
      </w:pPr>
      <w:r w:rsidRPr="00FB2AC6">
        <w:rPr>
          <w:noProof/>
          <w:color w:val="0E2841" w:themeColor="text2"/>
          <w:kern w:val="2"/>
          <w:lang w:val="en-GB" w:eastAsia="en-GB"/>
          <w14:ligatures w14:val="standardContextual"/>
        </w:rPr>
        <w:drawing>
          <wp:anchor distT="0" distB="0" distL="114300" distR="114300" simplePos="0" relativeHeight="251663360" behindDoc="0" locked="0" layoutInCell="1" allowOverlap="1" wp14:anchorId="337D4FA1" wp14:editId="69649187">
            <wp:simplePos x="0" y="0"/>
            <wp:positionH relativeFrom="margin">
              <wp:align>left</wp:align>
            </wp:positionH>
            <wp:positionV relativeFrom="paragraph">
              <wp:posOffset>7620</wp:posOffset>
            </wp:positionV>
            <wp:extent cx="739140" cy="472440"/>
            <wp:effectExtent l="0" t="0" r="3810" b="3810"/>
            <wp:wrapSquare wrapText="bothSides"/>
            <wp:docPr id="1380672308" name="Picture 2" descr="Pie chart and s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72308" name="Picture 1380672308" descr="Pie chart and stac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9140" cy="472440"/>
                    </a:xfrm>
                    <a:prstGeom prst="rect">
                      <a:avLst/>
                    </a:prstGeom>
                  </pic:spPr>
                </pic:pic>
              </a:graphicData>
            </a:graphic>
            <wp14:sizeRelH relativeFrom="margin">
              <wp14:pctWidth>0</wp14:pctWidth>
            </wp14:sizeRelH>
            <wp14:sizeRelV relativeFrom="margin">
              <wp14:pctHeight>0</wp14:pctHeight>
            </wp14:sizeRelV>
          </wp:anchor>
        </w:drawing>
      </w:r>
      <w:r w:rsidR="00816331" w:rsidRPr="00FB2AC6">
        <w:rPr>
          <w:color w:val="0E2841" w:themeColor="text2"/>
          <w:kern w:val="2"/>
          <w:lang w:val="sr-Latn-RS"/>
          <w14:ligatures w14:val="standardContextual"/>
        </w:rPr>
        <w:t>17</w:t>
      </w:r>
      <w:r w:rsidRPr="00FB2AC6">
        <w:rPr>
          <w:color w:val="0E2841" w:themeColor="text2"/>
          <w:kern w:val="2"/>
          <w:lang w:val="sr-Latn-RS"/>
          <w14:ligatures w14:val="standardContextual"/>
        </w:rPr>
        <w:t xml:space="preserve"> od 38 opština (</w:t>
      </w:r>
      <w:r w:rsidR="00816331" w:rsidRPr="00FB2AC6">
        <w:rPr>
          <w:color w:val="0E2841" w:themeColor="text2"/>
          <w:kern w:val="2"/>
          <w:lang w:val="sr-Latn-RS"/>
          <w14:ligatures w14:val="standardContextual"/>
        </w:rPr>
        <w:t>44.7</w:t>
      </w:r>
      <w:r w:rsidRPr="00FB2AC6">
        <w:rPr>
          <w:color w:val="0E2841" w:themeColor="text2"/>
          <w:kern w:val="2"/>
          <w:lang w:val="sr-Latn-RS"/>
          <w14:ligatures w14:val="standardContextual"/>
        </w:rPr>
        <w:t>%) postigle</w:t>
      </w:r>
      <w:r w:rsidR="00816331" w:rsidRPr="00FB2AC6">
        <w:rPr>
          <w:color w:val="0E2841" w:themeColor="text2"/>
          <w:kern w:val="2"/>
          <w:lang w:val="sr-Latn-RS"/>
          <w14:ligatures w14:val="standardContextual"/>
        </w:rPr>
        <w:t xml:space="preserve"> su ukupni učinak iznad 50% u 29</w:t>
      </w:r>
      <w:r w:rsidRPr="00FB2AC6">
        <w:rPr>
          <w:color w:val="0E2841" w:themeColor="text2"/>
          <w:kern w:val="2"/>
          <w:lang w:val="sr-Latn-RS"/>
          <w14:ligatures w14:val="standardContextual"/>
        </w:rPr>
        <w:t xml:space="preserve"> </w:t>
      </w:r>
      <w:r w:rsidR="00E0036D" w:rsidRPr="00FB2AC6">
        <w:rPr>
          <w:color w:val="0E2841" w:themeColor="text2"/>
          <w:kern w:val="2"/>
          <w:lang w:val="sr-Latn-RS"/>
          <w14:ligatures w14:val="standardContextual"/>
        </w:rPr>
        <w:t>pokazatelja učinka</w:t>
      </w:r>
      <w:r w:rsidRPr="00FB2AC6">
        <w:rPr>
          <w:color w:val="0E2841" w:themeColor="text2"/>
          <w:kern w:val="2"/>
          <w:lang w:val="sr-Latn-RS"/>
          <w14:ligatures w14:val="standardContextual"/>
        </w:rPr>
        <w:t xml:space="preserve">. Dok, među opštinama koje </w:t>
      </w:r>
      <w:r w:rsidR="00E0036D" w:rsidRPr="00FB2AC6">
        <w:rPr>
          <w:color w:val="0E2841" w:themeColor="text2"/>
          <w:kern w:val="2"/>
          <w:lang w:val="sr-Latn-RS"/>
          <w14:ligatures w14:val="standardContextual"/>
        </w:rPr>
        <w:t xml:space="preserve">su dobile </w:t>
      </w:r>
      <w:r w:rsidR="00CA2E28" w:rsidRPr="00FB2AC6">
        <w:rPr>
          <w:color w:val="0E2841" w:themeColor="text2"/>
          <w:kern w:val="2"/>
          <w:lang w:val="sr-Latn-RS"/>
          <w14:ligatures w14:val="standardContextual"/>
        </w:rPr>
        <w:t>GOU</w:t>
      </w:r>
      <w:r w:rsidRPr="00FB2AC6">
        <w:rPr>
          <w:color w:val="0E2841" w:themeColor="text2"/>
          <w:kern w:val="2"/>
          <w:lang w:val="sr-Latn-RS"/>
          <w14:ligatures w14:val="standardContextual"/>
        </w:rPr>
        <w:t xml:space="preserve"> </w:t>
      </w:r>
      <w:r w:rsidR="00E0036D" w:rsidRPr="00FB2AC6">
        <w:rPr>
          <w:color w:val="0E2841" w:themeColor="text2"/>
          <w:kern w:val="2"/>
          <w:lang w:val="sr-Latn-RS"/>
          <w14:ligatures w14:val="standardContextual"/>
        </w:rPr>
        <w:t xml:space="preserve">za </w:t>
      </w:r>
      <w:r w:rsidR="00816331" w:rsidRPr="00FB2AC6">
        <w:rPr>
          <w:color w:val="0E2841" w:themeColor="text2"/>
          <w:kern w:val="2"/>
          <w:lang w:val="sr-Latn-RS"/>
          <w14:ligatures w14:val="standardContextual"/>
        </w:rPr>
        <w:t>2026</w:t>
      </w:r>
      <w:r w:rsidR="00E0036D" w:rsidRPr="00FB2AC6">
        <w:rPr>
          <w:color w:val="0E2841" w:themeColor="text2"/>
          <w:kern w:val="2"/>
          <w:lang w:val="sr-Latn-RS"/>
          <w14:ligatures w14:val="standardContextual"/>
        </w:rPr>
        <w:t>. godinu</w:t>
      </w:r>
      <w:r w:rsidRPr="00FB2AC6">
        <w:rPr>
          <w:color w:val="0E2841" w:themeColor="text2"/>
          <w:kern w:val="2"/>
          <w:lang w:val="sr-Latn-RS"/>
          <w14:ligatures w14:val="standardContextual"/>
        </w:rPr>
        <w:t xml:space="preserve">, </w:t>
      </w:r>
      <w:r w:rsidR="00816331" w:rsidRPr="00FB2AC6">
        <w:rPr>
          <w:color w:val="0E2841" w:themeColor="text2"/>
          <w:kern w:val="2"/>
          <w:lang w:val="sr-Latn-RS"/>
          <w14:ligatures w14:val="standardContextual"/>
        </w:rPr>
        <w:t>3</w:t>
      </w:r>
      <w:r w:rsidRPr="00FB2AC6">
        <w:rPr>
          <w:color w:val="0E2841" w:themeColor="text2"/>
          <w:kern w:val="2"/>
          <w:lang w:val="sr-Latn-RS"/>
          <w14:ligatures w14:val="standardContextual"/>
        </w:rPr>
        <w:t xml:space="preserve"> od </w:t>
      </w:r>
      <w:r w:rsidR="00816331" w:rsidRPr="00FB2AC6">
        <w:rPr>
          <w:color w:val="0E2841" w:themeColor="text2"/>
          <w:kern w:val="2"/>
          <w:lang w:val="sr-Latn-RS"/>
          <w14:ligatures w14:val="standardContextual"/>
        </w:rPr>
        <w:t>5</w:t>
      </w:r>
      <w:r w:rsidRPr="00FB2AC6">
        <w:rPr>
          <w:color w:val="0E2841" w:themeColor="text2"/>
          <w:kern w:val="2"/>
          <w:lang w:val="sr-Latn-RS"/>
          <w14:ligatures w14:val="standardContextual"/>
        </w:rPr>
        <w:t xml:space="preserve"> ili </w:t>
      </w:r>
      <w:r w:rsidR="00816331" w:rsidRPr="00FB2AC6">
        <w:rPr>
          <w:color w:val="0E2841" w:themeColor="text2"/>
          <w:kern w:val="2"/>
          <w:lang w:val="sr-Latn-RS"/>
          <w14:ligatures w14:val="standardContextual"/>
        </w:rPr>
        <w:t>60.00</w:t>
      </w:r>
      <w:r w:rsidRPr="00FB2AC6">
        <w:rPr>
          <w:color w:val="0E2841" w:themeColor="text2"/>
          <w:kern w:val="2"/>
          <w:lang w:val="sr-Latn-RS"/>
          <w14:ligatures w14:val="standardContextual"/>
        </w:rPr>
        <w:t>% je postiglo učinak iznad proseka.</w:t>
      </w:r>
      <w:bookmarkStart w:id="18" w:name="_Hlk174608922"/>
    </w:p>
    <w:p w14:paraId="768EC0E7" w14:textId="77777777" w:rsidR="006C1555" w:rsidRPr="006C1555" w:rsidRDefault="0006116B" w:rsidP="006C1555">
      <w:pPr>
        <w:spacing w:after="0" w:line="264" w:lineRule="auto"/>
        <w:jc w:val="both"/>
        <w:rPr>
          <w:rFonts w:cstheme="majorHAnsi"/>
          <w:color w:val="0E2841" w:themeColor="text2"/>
          <w:lang w:val="sr-Latn-RS"/>
        </w:rPr>
      </w:pPr>
      <w:r w:rsidRPr="00FB2AC6">
        <w:rPr>
          <w:noProof/>
          <w:lang w:val="en-GB" w:eastAsia="en-GB"/>
        </w:rPr>
        <w:drawing>
          <wp:anchor distT="0" distB="0" distL="114300" distR="114300" simplePos="0" relativeHeight="251664384" behindDoc="0" locked="0" layoutInCell="1" allowOverlap="1" wp14:anchorId="522FDCAB" wp14:editId="11316E94">
            <wp:simplePos x="0" y="0"/>
            <wp:positionH relativeFrom="margin">
              <wp:align>left</wp:align>
            </wp:positionH>
            <wp:positionV relativeFrom="paragraph">
              <wp:posOffset>4445</wp:posOffset>
            </wp:positionV>
            <wp:extent cx="746760" cy="586740"/>
            <wp:effectExtent l="0" t="0" r="0" b="3810"/>
            <wp:wrapThrough wrapText="bothSides">
              <wp:wrapPolygon edited="0">
                <wp:start x="0" y="0"/>
                <wp:lineTo x="0" y="21039"/>
                <wp:lineTo x="20939" y="21039"/>
                <wp:lineTo x="20939" y="0"/>
                <wp:lineTo x="0" y="0"/>
              </wp:wrapPolygon>
            </wp:wrapThrough>
            <wp:docPr id="104672481" name="Picture 5" descr="A map of the republic of kosov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2481" name="Picture 5" descr="A map of the republic of kosov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6760" cy="586740"/>
                    </a:xfrm>
                    <a:prstGeom prst="rect">
                      <a:avLst/>
                    </a:prstGeom>
                  </pic:spPr>
                </pic:pic>
              </a:graphicData>
            </a:graphic>
            <wp14:sizeRelH relativeFrom="margin">
              <wp14:pctWidth>0</wp14:pctWidth>
            </wp14:sizeRelH>
            <wp14:sizeRelV relativeFrom="margin">
              <wp14:pctHeight>0</wp14:pctHeight>
            </wp14:sizeRelV>
          </wp:anchor>
        </w:drawing>
      </w:r>
      <w:r w:rsidR="00816331" w:rsidRPr="00FB2AC6">
        <w:rPr>
          <w:rFonts w:cstheme="majorHAnsi"/>
          <w:color w:val="0E2841" w:themeColor="text2"/>
          <w:lang w:val="sr-Latn-RS"/>
        </w:rPr>
        <w:t>Opština sa najvećim učinkom u 29</w:t>
      </w:r>
      <w:r w:rsidRPr="00FB2AC6">
        <w:rPr>
          <w:rFonts w:cstheme="majorHAnsi"/>
          <w:color w:val="0E2841" w:themeColor="text2"/>
          <w:lang w:val="sr-Latn-RS"/>
        </w:rPr>
        <w:t xml:space="preserve"> </w:t>
      </w:r>
      <w:r w:rsidR="00E0036D" w:rsidRPr="00FB2AC6">
        <w:rPr>
          <w:rFonts w:cstheme="majorHAnsi"/>
          <w:color w:val="0E2841" w:themeColor="text2"/>
          <w:lang w:val="sr-Latn-RS"/>
        </w:rPr>
        <w:t>pokazatelja</w:t>
      </w:r>
      <w:r w:rsidRPr="00FB2AC6">
        <w:rPr>
          <w:rFonts w:cstheme="majorHAnsi"/>
          <w:color w:val="0E2841" w:themeColor="text2"/>
          <w:lang w:val="sr-Latn-RS"/>
        </w:rPr>
        <w:t xml:space="preserve"> učinka </w:t>
      </w:r>
      <w:r w:rsidR="00E0036D" w:rsidRPr="00FB2AC6">
        <w:rPr>
          <w:rFonts w:cstheme="majorHAnsi"/>
          <w:color w:val="0E2841" w:themeColor="text2"/>
          <w:lang w:val="sr-Latn-RS"/>
        </w:rPr>
        <w:t xml:space="preserve">za </w:t>
      </w:r>
      <w:r w:rsidR="00F41E1B" w:rsidRPr="00FB2AC6">
        <w:rPr>
          <w:rFonts w:cstheme="majorHAnsi"/>
          <w:color w:val="0E2841" w:themeColor="text2"/>
          <w:lang w:val="sr-Latn-RS"/>
        </w:rPr>
        <w:t>2024</w:t>
      </w:r>
      <w:r w:rsidR="00E0036D" w:rsidRPr="00FB2AC6">
        <w:rPr>
          <w:rFonts w:cstheme="majorHAnsi"/>
          <w:color w:val="0E2841" w:themeColor="text2"/>
          <w:lang w:val="sr-Latn-RS"/>
        </w:rPr>
        <w:t>. godinu</w:t>
      </w:r>
      <w:r w:rsidRPr="00FB2AC6">
        <w:rPr>
          <w:rFonts w:cstheme="majorHAnsi"/>
          <w:color w:val="0E2841" w:themeColor="text2"/>
          <w:lang w:val="sr-Latn-RS"/>
        </w:rPr>
        <w:t xml:space="preserve"> je </w:t>
      </w:r>
      <w:r w:rsidR="00E0036D" w:rsidRPr="00FB2AC6">
        <w:rPr>
          <w:rFonts w:cstheme="majorHAnsi"/>
          <w:color w:val="0E2841" w:themeColor="text2"/>
          <w:lang w:val="sr-Latn-RS"/>
        </w:rPr>
        <w:t>O</w:t>
      </w:r>
      <w:r w:rsidRPr="00FB2AC6">
        <w:rPr>
          <w:rFonts w:cstheme="majorHAnsi"/>
          <w:color w:val="0E2841" w:themeColor="text2"/>
          <w:lang w:val="sr-Latn-RS"/>
        </w:rPr>
        <w:t>pština Glogov</w:t>
      </w:r>
      <w:r w:rsidR="00E0036D" w:rsidRPr="00FB2AC6">
        <w:rPr>
          <w:rFonts w:cstheme="majorHAnsi"/>
          <w:color w:val="0E2841" w:themeColor="text2"/>
          <w:lang w:val="sr-Latn-RS"/>
        </w:rPr>
        <w:t>a</w:t>
      </w:r>
      <w:r w:rsidRPr="00FB2AC6">
        <w:rPr>
          <w:rFonts w:cstheme="majorHAnsi"/>
          <w:color w:val="0E2841" w:themeColor="text2"/>
          <w:lang w:val="sr-Latn-RS"/>
        </w:rPr>
        <w:t xml:space="preserve">c. Ukupan rezultat </w:t>
      </w:r>
      <w:r w:rsidR="00E0036D" w:rsidRPr="00FB2AC6">
        <w:rPr>
          <w:rFonts w:cstheme="majorHAnsi"/>
          <w:color w:val="0E2841" w:themeColor="text2"/>
          <w:lang w:val="sr-Latn-RS"/>
        </w:rPr>
        <w:t xml:space="preserve">učinka </w:t>
      </w:r>
      <w:r w:rsidRPr="00FB2AC6">
        <w:rPr>
          <w:rFonts w:cstheme="majorHAnsi"/>
          <w:color w:val="0E2841" w:themeColor="text2"/>
          <w:lang w:val="sr-Latn-RS"/>
        </w:rPr>
        <w:t xml:space="preserve">ove opštine je </w:t>
      </w:r>
      <w:r w:rsidR="00816331" w:rsidRPr="00FB2AC6">
        <w:rPr>
          <w:rFonts w:cstheme="majorHAnsi"/>
          <w:color w:val="0E2841" w:themeColor="text2"/>
          <w:lang w:val="sr-Latn-RS"/>
        </w:rPr>
        <w:t>75 od 98</w:t>
      </w:r>
      <w:r w:rsidRPr="00FB2AC6">
        <w:rPr>
          <w:rFonts w:cstheme="majorHAnsi"/>
          <w:color w:val="0E2841" w:themeColor="text2"/>
          <w:lang w:val="sr-Latn-RS"/>
        </w:rPr>
        <w:t xml:space="preserve"> mogućih </w:t>
      </w:r>
      <w:r w:rsidR="00E0036D" w:rsidRPr="00FB2AC6">
        <w:rPr>
          <w:rFonts w:cstheme="majorHAnsi"/>
          <w:color w:val="0E2841" w:themeColor="text2"/>
          <w:lang w:val="sr-Latn-RS"/>
        </w:rPr>
        <w:t>bodova</w:t>
      </w:r>
      <w:r w:rsidRPr="00FB2AC6">
        <w:rPr>
          <w:rFonts w:cstheme="majorHAnsi"/>
          <w:color w:val="0E2841" w:themeColor="text2"/>
          <w:lang w:val="sr-Latn-RS"/>
        </w:rPr>
        <w:t xml:space="preserve"> (</w:t>
      </w:r>
      <w:r w:rsidR="00816331" w:rsidRPr="00FB2AC6">
        <w:rPr>
          <w:rFonts w:cstheme="majorHAnsi"/>
          <w:color w:val="0E2841" w:themeColor="text2"/>
          <w:lang w:val="sr-Latn-RS"/>
        </w:rPr>
        <w:t>76.5</w:t>
      </w:r>
      <w:r w:rsidRPr="00FB2AC6">
        <w:rPr>
          <w:rFonts w:cstheme="majorHAnsi"/>
          <w:color w:val="0E2841" w:themeColor="text2"/>
          <w:lang w:val="sr-Latn-RS"/>
        </w:rPr>
        <w:t xml:space="preserve">%). </w:t>
      </w:r>
      <w:bookmarkEnd w:id="15"/>
      <w:bookmarkEnd w:id="18"/>
      <w:r w:rsidR="006C1555" w:rsidRPr="00FB2AC6">
        <w:rPr>
          <w:rFonts w:cstheme="majorHAnsi"/>
          <w:color w:val="0E2841" w:themeColor="text2"/>
          <w:lang w:val="sr-Latn-RS"/>
        </w:rPr>
        <w:t>Od opština korisnica</w:t>
      </w:r>
      <w:r w:rsidR="006C1555" w:rsidRPr="006C1555">
        <w:rPr>
          <w:rFonts w:cstheme="majorHAnsi"/>
          <w:color w:val="0E2841" w:themeColor="text2"/>
          <w:lang w:val="sr-Latn-RS"/>
        </w:rPr>
        <w:t>, najvišu performansu ima opština Rahovec sa 72 od mogućih 98 poena (73,5%). Dok opština sa najnižom performansom je opština Novo Brdo sa 2,04%. Od opština korisnica Granta, opština sa najnižom performansom je opština Parteš sa 11,2% odnosno 11 poena od mogućih 98 poena.</w:t>
      </w:r>
    </w:p>
    <w:p w14:paraId="28531F57" w14:textId="5D8B55A7" w:rsidR="009C42AB" w:rsidRDefault="006C1555" w:rsidP="006C1555">
      <w:pPr>
        <w:spacing w:after="0" w:line="264" w:lineRule="auto"/>
        <w:jc w:val="both"/>
        <w:rPr>
          <w:rFonts w:cstheme="majorHAnsi"/>
          <w:color w:val="0E2841" w:themeColor="text2"/>
          <w:lang w:val="sr-Latn-RS"/>
        </w:rPr>
      </w:pPr>
      <w:r w:rsidRPr="006C1555">
        <w:rPr>
          <w:rFonts w:cstheme="majorHAnsi"/>
          <w:color w:val="0E2841" w:themeColor="text2"/>
          <w:lang w:val="sr-Latn-RS"/>
        </w:rPr>
        <w:t>Pet opština korisnica ostvarile su ukupnu performansu između 11 (11,2%) i 72 poena (73,5%).</w:t>
      </w:r>
    </w:p>
    <w:p w14:paraId="4561CBB2" w14:textId="77777777" w:rsidR="006C1555" w:rsidRDefault="006C1555" w:rsidP="006C1555">
      <w:pPr>
        <w:spacing w:after="0" w:line="264" w:lineRule="auto"/>
        <w:jc w:val="both"/>
        <w:rPr>
          <w:lang w:val="sr-Latn-RS"/>
        </w:rPr>
      </w:pPr>
    </w:p>
    <w:p w14:paraId="14BCE4FB" w14:textId="08B87AFE" w:rsidR="0006116B" w:rsidRDefault="003A3E05" w:rsidP="006E03A5">
      <w:pPr>
        <w:pStyle w:val="Caption"/>
        <w:jc w:val="both"/>
        <w:rPr>
          <w:lang w:val="sr-Latn-RS"/>
        </w:rPr>
      </w:pPr>
      <w:r>
        <w:rPr>
          <w:noProof/>
          <w:lang w:val="en-GB" w:eastAsia="en-GB"/>
          <w14:ligatures w14:val="standardContextual"/>
        </w:rPr>
        <w:drawing>
          <wp:anchor distT="0" distB="0" distL="114300" distR="114300" simplePos="0" relativeHeight="251797504" behindDoc="0" locked="0" layoutInCell="1" allowOverlap="1" wp14:anchorId="0E2CD89B" wp14:editId="457647DD">
            <wp:simplePos x="0" y="0"/>
            <wp:positionH relativeFrom="margin">
              <wp:align>left</wp:align>
            </wp:positionH>
            <wp:positionV relativeFrom="paragraph">
              <wp:posOffset>266700</wp:posOffset>
            </wp:positionV>
            <wp:extent cx="3947160" cy="2727960"/>
            <wp:effectExtent l="0" t="0" r="15240" b="15240"/>
            <wp:wrapSquare wrapText="bothSides"/>
            <wp:docPr id="170774918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2CE1500-9E14-4F57-BA4A-1177637DBA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6116B"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0006116B" w:rsidRPr="00FF3BB3">
        <w:rPr>
          <w:noProof/>
          <w:lang w:val="sr-Latn-RS"/>
        </w:rPr>
        <w:t>5</w:t>
      </w:r>
      <w:r w:rsidR="00C274C4" w:rsidRPr="00FF3BB3">
        <w:rPr>
          <w:noProof/>
          <w:lang w:val="sr-Latn-RS"/>
        </w:rPr>
        <w:fldChar w:fldCharType="end"/>
      </w:r>
      <w:r w:rsidR="00421EAB">
        <w:rPr>
          <w:lang w:val="sr-Latn-RS"/>
        </w:rPr>
        <w:t xml:space="preserve">. </w:t>
      </w:r>
      <w:r w:rsidR="0006116B" w:rsidRPr="00FF3BB3">
        <w:rPr>
          <w:lang w:val="sr-Latn-RS"/>
        </w:rPr>
        <w:t xml:space="preserve"> Prosečan učinak svih opština u </w:t>
      </w:r>
      <w:r w:rsidR="00CA2E28">
        <w:rPr>
          <w:lang w:val="sr-Latn-RS"/>
        </w:rPr>
        <w:t>GOU</w:t>
      </w:r>
      <w:r w:rsidR="0006116B" w:rsidRPr="00FF3BB3">
        <w:rPr>
          <w:lang w:val="sr-Latn-RS"/>
        </w:rPr>
        <w:t xml:space="preserve"> u poslednje tri godine</w:t>
      </w:r>
    </w:p>
    <w:p w14:paraId="1BE6B3F8" w14:textId="77777777" w:rsidR="006C1555" w:rsidRPr="006C1555" w:rsidRDefault="006C1555" w:rsidP="006C1555">
      <w:pPr>
        <w:jc w:val="both"/>
        <w:rPr>
          <w:rFonts w:cstheme="majorHAnsi"/>
          <w:color w:val="0E2841" w:themeColor="text2"/>
          <w:lang w:val="sr-Latn-RS"/>
        </w:rPr>
      </w:pPr>
      <w:r w:rsidRPr="006C1555">
        <w:rPr>
          <w:rFonts w:cstheme="majorHAnsi"/>
          <w:color w:val="0E2841" w:themeColor="text2"/>
          <w:lang w:val="sr-Latn-RS"/>
        </w:rPr>
        <w:t>Od opština korisnica, najvišu performansu ima opština Rahovec sa 72 od mogućih 98 poena (73,5%). Dok opština sa najnižom performansom je opština Novo Brdo sa 2,04%. Od opština korisnica Granta, opština sa najnižom performansom je opština Parteš sa 11,2% odnosno 11 poena od mogućih 98 poena.</w:t>
      </w:r>
    </w:p>
    <w:p w14:paraId="2E35A175" w14:textId="7C92F81F" w:rsidR="0006116B" w:rsidRDefault="006C1555" w:rsidP="006C1555">
      <w:pPr>
        <w:jc w:val="both"/>
        <w:rPr>
          <w:lang w:val="sr-Latn-RS"/>
        </w:rPr>
      </w:pPr>
      <w:r w:rsidRPr="006C1555">
        <w:rPr>
          <w:rFonts w:cstheme="majorHAnsi"/>
          <w:color w:val="0E2841" w:themeColor="text2"/>
          <w:lang w:val="sr-Latn-RS"/>
        </w:rPr>
        <w:t>Pet opština korisnica ostvarile su ukupnu performansu između 11 (11,2%) i 72 poena (73,5</w:t>
      </w:r>
      <w:r w:rsidRPr="00FB2AC6">
        <w:rPr>
          <w:rFonts w:cstheme="majorHAnsi"/>
          <w:color w:val="0E2841" w:themeColor="text2"/>
          <w:lang w:val="sr-Latn-RS"/>
        </w:rPr>
        <w:t>%)</w:t>
      </w:r>
      <w:r w:rsidR="0006116B" w:rsidRPr="00FB2AC6">
        <w:rPr>
          <w:rFonts w:cstheme="majorHAnsi"/>
          <w:color w:val="0E2841" w:themeColor="text2"/>
          <w:lang w:val="sr-Latn-RS"/>
        </w:rPr>
        <w:t>.</w:t>
      </w:r>
    </w:p>
    <w:p w14:paraId="5A7FC724" w14:textId="57F8D43B" w:rsidR="0006116B" w:rsidRPr="00FF3BB3" w:rsidRDefault="004B2307" w:rsidP="006E03A5">
      <w:pPr>
        <w:rPr>
          <w:lang w:val="sr-Latn-RS"/>
        </w:rPr>
      </w:pPr>
      <w:r>
        <w:rPr>
          <w:noProof/>
          <w:lang w:val="en-GB" w:eastAsia="en-GB"/>
          <w14:ligatures w14:val="standardContextual"/>
        </w:rPr>
        <w:lastRenderedPageBreak/>
        <w:drawing>
          <wp:anchor distT="0" distB="0" distL="114300" distR="114300" simplePos="0" relativeHeight="251806720" behindDoc="0" locked="0" layoutInCell="1" allowOverlap="1" wp14:anchorId="2A95DE3D" wp14:editId="1B5C20AF">
            <wp:simplePos x="0" y="0"/>
            <wp:positionH relativeFrom="margin">
              <wp:posOffset>-47625</wp:posOffset>
            </wp:positionH>
            <wp:positionV relativeFrom="paragraph">
              <wp:posOffset>0</wp:posOffset>
            </wp:positionV>
            <wp:extent cx="3810000" cy="2720340"/>
            <wp:effectExtent l="0" t="0" r="0" b="3810"/>
            <wp:wrapSquare wrapText="bothSides"/>
            <wp:docPr id="91225041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0AE2B18-0182-4D35-9F9B-834879A34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6C1555" w:rsidRPr="006C1555">
        <w:t xml:space="preserve"> </w:t>
      </w:r>
      <w:r w:rsidR="006C1555" w:rsidRPr="006C1555">
        <w:rPr>
          <w:rFonts w:cstheme="majorHAnsi"/>
          <w:color w:val="0E2841" w:themeColor="text2"/>
          <w:lang w:val="sr-Latn-RS"/>
        </w:rPr>
        <w:t>Takođe, kod opština korisnica imamo pad sa 60,23% u 2025. godini na 46,33% u 2026. godini.</w:t>
      </w:r>
      <w:r w:rsidR="0006116B" w:rsidRPr="00FF3BB3">
        <w:rPr>
          <w:rFonts w:cstheme="majorHAnsi"/>
          <w:color w:val="0E2841" w:themeColor="text2"/>
          <w:lang w:val="sr-Latn-RS"/>
        </w:rPr>
        <w:t>.</w:t>
      </w:r>
    </w:p>
    <w:p w14:paraId="4DDBEAF8" w14:textId="48829812" w:rsidR="009C42AB" w:rsidRDefault="009C42AB" w:rsidP="00FF3BB3">
      <w:pPr>
        <w:jc w:val="both"/>
        <w:rPr>
          <w:rFonts w:cstheme="majorHAnsi"/>
          <w:color w:val="0E2841" w:themeColor="text2"/>
          <w:lang w:val="sr-Latn-RS"/>
        </w:rPr>
      </w:pPr>
    </w:p>
    <w:p w14:paraId="7A9106A2" w14:textId="77777777" w:rsidR="009C42AB" w:rsidRDefault="009C42AB" w:rsidP="00FF3BB3">
      <w:pPr>
        <w:jc w:val="both"/>
        <w:rPr>
          <w:rFonts w:cstheme="majorHAnsi"/>
          <w:color w:val="0E2841" w:themeColor="text2"/>
          <w:lang w:val="sr-Latn-RS"/>
        </w:rPr>
      </w:pPr>
    </w:p>
    <w:p w14:paraId="46C8B355" w14:textId="77777777" w:rsidR="009C42AB" w:rsidRDefault="009C42AB" w:rsidP="00FF3BB3">
      <w:pPr>
        <w:jc w:val="both"/>
        <w:rPr>
          <w:rFonts w:cstheme="majorHAnsi"/>
          <w:color w:val="0E2841" w:themeColor="text2"/>
          <w:lang w:val="sr-Latn-RS"/>
        </w:rPr>
      </w:pPr>
    </w:p>
    <w:p w14:paraId="0EC0B302" w14:textId="77777777" w:rsidR="009C42AB" w:rsidRDefault="009C42AB" w:rsidP="00FF3BB3">
      <w:pPr>
        <w:jc w:val="both"/>
        <w:rPr>
          <w:rFonts w:cstheme="majorHAnsi"/>
          <w:color w:val="0E2841" w:themeColor="text2"/>
          <w:lang w:val="sr-Latn-RS"/>
        </w:rPr>
      </w:pPr>
    </w:p>
    <w:p w14:paraId="431049C3" w14:textId="77777777" w:rsidR="009C42AB" w:rsidRDefault="009C42AB" w:rsidP="00FF3BB3">
      <w:pPr>
        <w:jc w:val="both"/>
        <w:rPr>
          <w:rFonts w:cstheme="majorHAnsi"/>
          <w:color w:val="0E2841" w:themeColor="text2"/>
          <w:lang w:val="sr-Latn-RS"/>
        </w:rPr>
      </w:pPr>
    </w:p>
    <w:p w14:paraId="5BB8AC2B" w14:textId="77777777" w:rsidR="009C42AB" w:rsidRDefault="009C42AB" w:rsidP="00FF3BB3">
      <w:pPr>
        <w:jc w:val="both"/>
        <w:rPr>
          <w:rFonts w:cstheme="majorHAnsi"/>
          <w:color w:val="0E2841" w:themeColor="text2"/>
          <w:lang w:val="sr-Latn-RS"/>
        </w:rPr>
      </w:pPr>
    </w:p>
    <w:p w14:paraId="7E5A5EBB" w14:textId="77777777" w:rsidR="009C42AB" w:rsidRDefault="009C42AB" w:rsidP="00FF3BB3">
      <w:pPr>
        <w:jc w:val="both"/>
        <w:rPr>
          <w:rFonts w:cstheme="majorHAnsi"/>
          <w:color w:val="0E2841" w:themeColor="text2"/>
          <w:lang w:val="sr-Latn-RS"/>
        </w:rPr>
      </w:pPr>
    </w:p>
    <w:p w14:paraId="362F04DB" w14:textId="77777777" w:rsidR="009C42AB" w:rsidRDefault="009C42AB" w:rsidP="00FF3BB3">
      <w:pPr>
        <w:jc w:val="both"/>
        <w:rPr>
          <w:rFonts w:cstheme="majorHAnsi"/>
          <w:color w:val="0E2841" w:themeColor="text2"/>
          <w:lang w:val="sr-Latn-RS"/>
        </w:rPr>
      </w:pPr>
    </w:p>
    <w:p w14:paraId="57306723" w14:textId="77777777" w:rsidR="004B2307" w:rsidRDefault="004B2307" w:rsidP="00FF3BB3">
      <w:pPr>
        <w:jc w:val="both"/>
        <w:rPr>
          <w:rFonts w:cstheme="majorHAnsi"/>
          <w:color w:val="0E2841" w:themeColor="text2"/>
          <w:lang w:val="sr-Latn-RS"/>
        </w:rPr>
      </w:pPr>
    </w:p>
    <w:p w14:paraId="2C955623" w14:textId="77777777" w:rsidR="004B2307" w:rsidRDefault="004B2307" w:rsidP="00FF3BB3">
      <w:pPr>
        <w:jc w:val="both"/>
        <w:rPr>
          <w:rFonts w:cstheme="majorHAnsi"/>
          <w:color w:val="0E2841" w:themeColor="text2"/>
          <w:lang w:val="sr-Latn-RS"/>
        </w:rPr>
      </w:pPr>
    </w:p>
    <w:p w14:paraId="07ED0656" w14:textId="77777777" w:rsidR="004B2307" w:rsidRDefault="004B2307" w:rsidP="00FF3BB3">
      <w:pPr>
        <w:jc w:val="both"/>
        <w:rPr>
          <w:rFonts w:cstheme="majorHAnsi"/>
          <w:color w:val="0E2841" w:themeColor="text2"/>
          <w:lang w:val="sr-Latn-RS"/>
        </w:rPr>
      </w:pPr>
    </w:p>
    <w:p w14:paraId="70C9924E" w14:textId="77777777" w:rsidR="004B2307" w:rsidRDefault="004B2307" w:rsidP="00FF3BB3">
      <w:pPr>
        <w:jc w:val="both"/>
        <w:rPr>
          <w:rFonts w:cstheme="majorHAnsi"/>
          <w:color w:val="0E2841" w:themeColor="text2"/>
          <w:lang w:val="sr-Latn-RS"/>
        </w:rPr>
      </w:pPr>
    </w:p>
    <w:p w14:paraId="694FDD00" w14:textId="77777777" w:rsidR="004B2307" w:rsidRDefault="004B2307" w:rsidP="00FF3BB3">
      <w:pPr>
        <w:jc w:val="both"/>
        <w:rPr>
          <w:rFonts w:cstheme="majorHAnsi"/>
          <w:color w:val="0E2841" w:themeColor="text2"/>
          <w:lang w:val="sr-Latn-RS"/>
        </w:rPr>
      </w:pPr>
    </w:p>
    <w:p w14:paraId="6247089E" w14:textId="77777777" w:rsidR="004B2307" w:rsidRDefault="004B2307" w:rsidP="00FF3BB3">
      <w:pPr>
        <w:jc w:val="both"/>
        <w:rPr>
          <w:rFonts w:cstheme="majorHAnsi"/>
          <w:color w:val="0E2841" w:themeColor="text2"/>
          <w:lang w:val="sr-Latn-RS"/>
        </w:rPr>
      </w:pPr>
    </w:p>
    <w:p w14:paraId="788AAC61" w14:textId="77777777" w:rsidR="004B2307" w:rsidRDefault="004B2307" w:rsidP="00FF3BB3">
      <w:pPr>
        <w:jc w:val="both"/>
        <w:rPr>
          <w:rFonts w:cstheme="majorHAnsi"/>
          <w:color w:val="0E2841" w:themeColor="text2"/>
          <w:lang w:val="sr-Latn-RS"/>
        </w:rPr>
      </w:pPr>
    </w:p>
    <w:p w14:paraId="609CFC79" w14:textId="77777777" w:rsidR="004B2307" w:rsidRDefault="004B2307" w:rsidP="00FF3BB3">
      <w:pPr>
        <w:jc w:val="both"/>
        <w:rPr>
          <w:rFonts w:cstheme="majorHAnsi"/>
          <w:color w:val="0E2841" w:themeColor="text2"/>
          <w:lang w:val="sr-Latn-RS"/>
        </w:rPr>
      </w:pPr>
    </w:p>
    <w:p w14:paraId="578E85A8" w14:textId="77777777" w:rsidR="004B2307" w:rsidRDefault="004B2307" w:rsidP="00FF3BB3">
      <w:pPr>
        <w:jc w:val="both"/>
        <w:rPr>
          <w:rFonts w:cstheme="majorHAnsi"/>
          <w:color w:val="0E2841" w:themeColor="text2"/>
          <w:lang w:val="sr-Latn-RS"/>
        </w:rPr>
      </w:pPr>
    </w:p>
    <w:p w14:paraId="4DFCEE87" w14:textId="77777777" w:rsidR="004B2307" w:rsidRDefault="004B2307" w:rsidP="00FF3BB3">
      <w:pPr>
        <w:jc w:val="both"/>
        <w:rPr>
          <w:rFonts w:cstheme="majorHAnsi"/>
          <w:color w:val="0E2841" w:themeColor="text2"/>
          <w:lang w:val="sr-Latn-RS"/>
        </w:rPr>
      </w:pPr>
    </w:p>
    <w:p w14:paraId="69CDE262" w14:textId="77777777" w:rsidR="004B2307" w:rsidRDefault="004B2307" w:rsidP="00FF3BB3">
      <w:pPr>
        <w:jc w:val="both"/>
        <w:rPr>
          <w:rFonts w:cstheme="majorHAnsi"/>
          <w:color w:val="0E2841" w:themeColor="text2"/>
          <w:lang w:val="sr-Latn-RS"/>
        </w:rPr>
      </w:pPr>
    </w:p>
    <w:p w14:paraId="3C25AA04" w14:textId="77777777" w:rsidR="004B2307" w:rsidRDefault="004B2307" w:rsidP="00FF3BB3">
      <w:pPr>
        <w:jc w:val="both"/>
        <w:rPr>
          <w:rFonts w:cstheme="majorHAnsi"/>
          <w:color w:val="0E2841" w:themeColor="text2"/>
          <w:lang w:val="sr-Latn-RS"/>
        </w:rPr>
      </w:pPr>
    </w:p>
    <w:p w14:paraId="49D6EA4D" w14:textId="77777777" w:rsidR="004B2307" w:rsidRDefault="004B2307" w:rsidP="00FF3BB3">
      <w:pPr>
        <w:jc w:val="both"/>
        <w:rPr>
          <w:rFonts w:cstheme="majorHAnsi"/>
          <w:color w:val="0E2841" w:themeColor="text2"/>
          <w:lang w:val="sr-Latn-RS"/>
        </w:rPr>
      </w:pPr>
    </w:p>
    <w:p w14:paraId="4BA9F4B3" w14:textId="77777777" w:rsidR="004B2307" w:rsidRDefault="004B2307" w:rsidP="00FF3BB3">
      <w:pPr>
        <w:jc w:val="both"/>
        <w:rPr>
          <w:rFonts w:cstheme="majorHAnsi"/>
          <w:color w:val="0E2841" w:themeColor="text2"/>
          <w:lang w:val="sr-Latn-RS"/>
        </w:rPr>
      </w:pPr>
    </w:p>
    <w:p w14:paraId="4BC50E86" w14:textId="77777777" w:rsidR="004B2307" w:rsidRDefault="004B2307" w:rsidP="00FF3BB3">
      <w:pPr>
        <w:jc w:val="both"/>
        <w:rPr>
          <w:rFonts w:cstheme="majorHAnsi"/>
          <w:color w:val="0E2841" w:themeColor="text2"/>
          <w:lang w:val="sr-Latn-RS"/>
        </w:rPr>
      </w:pPr>
    </w:p>
    <w:p w14:paraId="45C0E53F" w14:textId="77777777" w:rsidR="004B2307" w:rsidRDefault="004B2307" w:rsidP="00FF3BB3">
      <w:pPr>
        <w:jc w:val="both"/>
        <w:rPr>
          <w:rFonts w:cstheme="majorHAnsi"/>
          <w:color w:val="0E2841" w:themeColor="text2"/>
          <w:lang w:val="sr-Latn-RS"/>
        </w:rPr>
      </w:pPr>
    </w:p>
    <w:p w14:paraId="4846F150" w14:textId="77777777" w:rsidR="004B2307" w:rsidRDefault="004B2307" w:rsidP="00FF3BB3">
      <w:pPr>
        <w:jc w:val="both"/>
        <w:rPr>
          <w:rFonts w:cstheme="majorHAnsi"/>
          <w:color w:val="0E2841" w:themeColor="text2"/>
          <w:lang w:val="sr-Latn-RS"/>
        </w:rPr>
      </w:pPr>
    </w:p>
    <w:p w14:paraId="23468FD2" w14:textId="77777777" w:rsidR="004B2307" w:rsidRDefault="004B2307" w:rsidP="00FF3BB3">
      <w:pPr>
        <w:jc w:val="both"/>
        <w:rPr>
          <w:rFonts w:cstheme="majorHAnsi"/>
          <w:color w:val="0E2841" w:themeColor="text2"/>
          <w:lang w:val="sr-Latn-RS"/>
        </w:rPr>
      </w:pPr>
    </w:p>
    <w:p w14:paraId="0D6826FB" w14:textId="41242906" w:rsidR="0006116B" w:rsidRDefault="0006116B" w:rsidP="00FF3BB3">
      <w:pPr>
        <w:jc w:val="both"/>
        <w:rPr>
          <w:rFonts w:cstheme="majorHAnsi"/>
          <w:color w:val="0E2841" w:themeColor="text2"/>
          <w:lang w:val="sr-Latn-RS"/>
        </w:rPr>
      </w:pPr>
      <w:r w:rsidRPr="00FF3BB3">
        <w:rPr>
          <w:rFonts w:cstheme="majorHAnsi"/>
          <w:color w:val="0E2841" w:themeColor="text2"/>
          <w:lang w:val="sr-Latn-RS"/>
        </w:rPr>
        <w:lastRenderedPageBreak/>
        <w:t>U nastavku su pr</w:t>
      </w:r>
      <w:r w:rsidR="00EC03CB">
        <w:rPr>
          <w:rFonts w:cstheme="majorHAnsi"/>
          <w:color w:val="0E2841" w:themeColor="text2"/>
          <w:lang w:val="sr-Latn-RS"/>
        </w:rPr>
        <w:t xml:space="preserve">ikazani </w:t>
      </w:r>
      <w:r w:rsidRPr="00FF3BB3">
        <w:rPr>
          <w:rFonts w:cstheme="majorHAnsi"/>
          <w:color w:val="0E2841" w:themeColor="text2"/>
          <w:lang w:val="sr-Latn-RS"/>
        </w:rPr>
        <w:t xml:space="preserve">opšti rezultati </w:t>
      </w:r>
      <w:r w:rsidR="00EC03CB">
        <w:rPr>
          <w:rFonts w:cstheme="majorHAnsi"/>
          <w:color w:val="0E2841" w:themeColor="text2"/>
          <w:lang w:val="sr-Latn-RS"/>
        </w:rPr>
        <w:t xml:space="preserve">učinka </w:t>
      </w:r>
      <w:r w:rsidRPr="00FF3BB3">
        <w:rPr>
          <w:rFonts w:cstheme="majorHAnsi"/>
          <w:color w:val="0E2841" w:themeColor="text2"/>
          <w:lang w:val="sr-Latn-RS"/>
        </w:rPr>
        <w:t xml:space="preserve">svake opštine </w:t>
      </w:r>
      <w:r w:rsidR="00EC03CB">
        <w:rPr>
          <w:rFonts w:cstheme="majorHAnsi"/>
          <w:color w:val="0E2841" w:themeColor="text2"/>
          <w:lang w:val="sr-Latn-RS"/>
        </w:rPr>
        <w:t>odvojeno</w:t>
      </w:r>
      <w:r w:rsidRPr="00FF3BB3">
        <w:rPr>
          <w:rFonts w:cstheme="majorHAnsi"/>
          <w:color w:val="0E2841" w:themeColor="text2"/>
          <w:lang w:val="sr-Latn-RS"/>
        </w:rPr>
        <w:t>.</w:t>
      </w:r>
    </w:p>
    <w:p w14:paraId="380A9FD6" w14:textId="77777777" w:rsidR="004B2307" w:rsidRPr="00FF3BB3" w:rsidRDefault="004B2307" w:rsidP="00FF3BB3">
      <w:pPr>
        <w:jc w:val="both"/>
        <w:rPr>
          <w:rFonts w:cstheme="majorHAnsi"/>
          <w:color w:val="0E2841" w:themeColor="text2"/>
          <w:lang w:val="sr-Latn-RS"/>
        </w:rPr>
      </w:pPr>
    </w:p>
    <w:p w14:paraId="534A95CD" w14:textId="4DD7DFB0" w:rsidR="0006116B" w:rsidRPr="004B2307" w:rsidRDefault="004B2307" w:rsidP="004B2307">
      <w:pPr>
        <w:jc w:val="both"/>
        <w:rPr>
          <w:rFonts w:cstheme="majorHAnsi"/>
          <w:color w:val="0E2841" w:themeColor="text2"/>
          <w:lang w:val="sr-Latn-RS"/>
        </w:rPr>
      </w:pPr>
      <w:r>
        <w:rPr>
          <w:noProof/>
          <w:lang w:val="en-GB" w:eastAsia="en-GB"/>
          <w14:ligatures w14:val="standardContextual"/>
        </w:rPr>
        <w:drawing>
          <wp:inline distT="0" distB="0" distL="0" distR="0" wp14:anchorId="5DEF2763" wp14:editId="7D1F7881">
            <wp:extent cx="6106795" cy="7419975"/>
            <wp:effectExtent l="0" t="0" r="8255" b="9525"/>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58FE69E-49C3-7A0F-43DC-10616A5C3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61C418" w14:textId="54C6E986" w:rsidR="0006116B" w:rsidRPr="00FF3BB3" w:rsidRDefault="004B2307" w:rsidP="00FF3BB3">
      <w:pPr>
        <w:spacing w:after="200" w:line="240" w:lineRule="auto"/>
        <w:jc w:val="both"/>
        <w:rPr>
          <w:rFonts w:cstheme="majorHAnsi"/>
          <w:sz w:val="21"/>
          <w:szCs w:val="21"/>
          <w:lang w:val="sr-Latn-RS"/>
        </w:rPr>
      </w:pPr>
      <w:r>
        <w:rPr>
          <w:noProof/>
          <w:lang w:val="en-GB" w:eastAsia="en-GB"/>
          <w14:ligatures w14:val="standardContextual"/>
        </w:rPr>
        <w:lastRenderedPageBreak/>
        <w:drawing>
          <wp:inline distT="0" distB="0" distL="0" distR="0" wp14:anchorId="6DF9AC18" wp14:editId="3B5EEA98">
            <wp:extent cx="6353175" cy="2466975"/>
            <wp:effectExtent l="0" t="0" r="9525" b="952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5CDAEC2-8D10-3F35-EDAF-DDDBB02900BF}"/>
                </a:ext>
                <a:ext uri="{147F2762-F138-4A5C-976F-8EAC2B608ADB}">
                  <a16:predDERef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pred="{358FE69E-49C3-7A0F-43DC-10616A5C3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ACB8C5" w14:textId="311C9944" w:rsidR="0006116B" w:rsidRPr="00FF3BB3" w:rsidRDefault="0006116B" w:rsidP="00FF3BB3">
      <w:pPr>
        <w:keepNext/>
        <w:tabs>
          <w:tab w:val="left" w:pos="810"/>
        </w:tabs>
        <w:spacing w:before="240" w:after="0" w:line="240" w:lineRule="auto"/>
        <w:outlineLvl w:val="0"/>
        <w:rPr>
          <w:rFonts w:eastAsiaTheme="majorEastAsia" w:cstheme="majorHAnsi"/>
          <w:b/>
          <w:color w:val="0E2841" w:themeColor="text2"/>
          <w:sz w:val="24"/>
          <w:szCs w:val="24"/>
          <w:lang w:val="sr-Latn-RS"/>
        </w:rPr>
      </w:pPr>
      <w:bookmarkStart w:id="19" w:name="_Toc224550094"/>
      <w:r w:rsidRPr="00FF3BB3">
        <w:rPr>
          <w:rFonts w:eastAsiaTheme="majorEastAsia" w:cstheme="majorHAnsi"/>
          <w:b/>
          <w:color w:val="0E2841" w:themeColor="text2"/>
          <w:sz w:val="24"/>
          <w:szCs w:val="24"/>
          <w:lang w:val="sr-Latn-RS"/>
        </w:rPr>
        <w:t xml:space="preserve">2.2.2 Rezultati za </w:t>
      </w:r>
      <w:r w:rsidR="009A68B6">
        <w:rPr>
          <w:rFonts w:eastAsiaTheme="majorEastAsia" w:cstheme="majorHAnsi"/>
          <w:b/>
          <w:color w:val="0E2841" w:themeColor="text2"/>
          <w:sz w:val="24"/>
          <w:szCs w:val="24"/>
          <w:lang w:val="sr-Latn-RS"/>
        </w:rPr>
        <w:t xml:space="preserve">pokazatelje </w:t>
      </w:r>
      <w:r w:rsidR="00CA2E28">
        <w:rPr>
          <w:rFonts w:eastAsiaTheme="majorEastAsia" w:cstheme="majorHAnsi"/>
          <w:b/>
          <w:color w:val="0E2841" w:themeColor="text2"/>
          <w:sz w:val="24"/>
          <w:szCs w:val="24"/>
          <w:lang w:val="sr-Latn-RS"/>
        </w:rPr>
        <w:t>GOU</w:t>
      </w:r>
      <w:r w:rsidR="009A68B6">
        <w:rPr>
          <w:rFonts w:eastAsiaTheme="majorEastAsia" w:cstheme="majorHAnsi"/>
          <w:b/>
          <w:color w:val="0E2841" w:themeColor="text2"/>
          <w:sz w:val="24"/>
          <w:szCs w:val="24"/>
          <w:lang w:val="sr-Latn-RS"/>
        </w:rPr>
        <w:t>-a</w:t>
      </w:r>
      <w:r w:rsidRPr="00FF3BB3">
        <w:rPr>
          <w:rFonts w:eastAsiaTheme="majorEastAsia" w:cstheme="majorHAnsi"/>
          <w:b/>
          <w:color w:val="0E2841" w:themeColor="text2"/>
          <w:sz w:val="24"/>
          <w:szCs w:val="24"/>
          <w:lang w:val="sr-Latn-RS"/>
        </w:rPr>
        <w:t xml:space="preserve"> u </w:t>
      </w:r>
      <w:r w:rsidR="00C04BCD">
        <w:rPr>
          <w:rFonts w:eastAsiaTheme="majorEastAsia" w:cstheme="majorHAnsi"/>
          <w:b/>
          <w:color w:val="0E2841" w:themeColor="text2"/>
          <w:sz w:val="24"/>
          <w:szCs w:val="24"/>
          <w:lang w:val="sr-Latn-RS"/>
        </w:rPr>
        <w:t>oblastima</w:t>
      </w:r>
      <w:r w:rsidRPr="00FF3BB3">
        <w:rPr>
          <w:rFonts w:eastAsiaTheme="majorEastAsia" w:cstheme="majorHAnsi"/>
          <w:b/>
          <w:color w:val="0E2841" w:themeColor="text2"/>
          <w:sz w:val="24"/>
          <w:szCs w:val="24"/>
          <w:lang w:val="sr-Latn-RS"/>
        </w:rPr>
        <w:t xml:space="preserve"> i </w:t>
      </w:r>
      <w:r w:rsidR="00C04BCD" w:rsidRPr="00FF3BB3">
        <w:rPr>
          <w:rFonts w:eastAsiaTheme="majorEastAsia" w:cstheme="majorHAnsi"/>
          <w:b/>
          <w:color w:val="0E2841" w:themeColor="text2"/>
          <w:sz w:val="24"/>
          <w:szCs w:val="24"/>
          <w:lang w:val="sr-Latn-RS"/>
        </w:rPr>
        <w:t>po</w:t>
      </w:r>
      <w:r w:rsidR="00C04BCD">
        <w:rPr>
          <w:rFonts w:eastAsiaTheme="majorEastAsia" w:cstheme="majorHAnsi"/>
          <w:b/>
          <w:color w:val="0E2841" w:themeColor="text2"/>
          <w:sz w:val="24"/>
          <w:szCs w:val="24"/>
          <w:lang w:val="sr-Latn-RS"/>
        </w:rPr>
        <w:t>d-oblastima</w:t>
      </w:r>
      <w:bookmarkEnd w:id="19"/>
      <w:r w:rsidR="00C04BCD">
        <w:rPr>
          <w:rFonts w:eastAsiaTheme="majorEastAsia" w:cstheme="majorHAnsi"/>
          <w:b/>
          <w:color w:val="0E2841" w:themeColor="text2"/>
          <w:sz w:val="24"/>
          <w:szCs w:val="24"/>
          <w:lang w:val="sr-Latn-RS"/>
        </w:rPr>
        <w:t xml:space="preserve"> </w:t>
      </w:r>
    </w:p>
    <w:p w14:paraId="41390E58" w14:textId="77777777" w:rsidR="0006116B" w:rsidRPr="00FF3BB3" w:rsidRDefault="0006116B" w:rsidP="00FF3BB3">
      <w:pPr>
        <w:keepNext/>
        <w:tabs>
          <w:tab w:val="left" w:pos="810"/>
        </w:tabs>
        <w:spacing w:after="0" w:line="240" w:lineRule="auto"/>
        <w:outlineLvl w:val="0"/>
        <w:rPr>
          <w:rFonts w:eastAsiaTheme="majorEastAsia" w:cstheme="majorHAnsi"/>
          <w:b/>
          <w:color w:val="0E2841" w:themeColor="text2"/>
          <w:sz w:val="24"/>
          <w:szCs w:val="24"/>
          <w:lang w:val="sr-Latn-RS"/>
        </w:rPr>
      </w:pPr>
    </w:p>
    <w:p w14:paraId="44E82953" w14:textId="3A0C26AB" w:rsidR="0006116B" w:rsidRPr="00FF3BB3" w:rsidRDefault="009A68B6" w:rsidP="00FF3BB3">
      <w:pPr>
        <w:jc w:val="both"/>
        <w:rPr>
          <w:rFonts w:cstheme="majorHAnsi"/>
          <w:color w:val="0E2841" w:themeColor="text2"/>
          <w:lang w:val="sr-Latn-RS"/>
        </w:rPr>
      </w:pPr>
      <w:r>
        <w:rPr>
          <w:rFonts w:cstheme="majorHAnsi"/>
          <w:color w:val="0E2841" w:themeColor="text2"/>
          <w:lang w:val="sr-Latn-RS"/>
        </w:rPr>
        <w:t xml:space="preserve">Prosečni </w:t>
      </w:r>
      <w:r w:rsidR="0006116B" w:rsidRPr="00FF3BB3">
        <w:rPr>
          <w:rFonts w:cstheme="majorHAnsi"/>
          <w:color w:val="0E2841" w:themeColor="text2"/>
          <w:lang w:val="sr-Latn-RS"/>
        </w:rPr>
        <w:t>učinak 38 opština u oblasti 'Demokratsko</w:t>
      </w:r>
      <w:r>
        <w:rPr>
          <w:rFonts w:cstheme="majorHAnsi"/>
          <w:color w:val="0E2841" w:themeColor="text2"/>
          <w:lang w:val="sr-Latn-RS"/>
        </w:rPr>
        <w:t xml:space="preserve"> upravljanje</w:t>
      </w:r>
      <w:r w:rsidR="0006116B" w:rsidRPr="00FF3BB3">
        <w:rPr>
          <w:rFonts w:cstheme="majorHAnsi"/>
          <w:color w:val="0E2841" w:themeColor="text2"/>
          <w:lang w:val="sr-Latn-RS"/>
        </w:rPr>
        <w:t xml:space="preserve">' je </w:t>
      </w:r>
      <w:r w:rsidR="004B2307">
        <w:rPr>
          <w:rFonts w:cstheme="majorHAnsi"/>
          <w:color w:val="0E2841" w:themeColor="text2"/>
        </w:rPr>
        <w:t>51.58</w:t>
      </w:r>
      <w:r w:rsidR="004B2307" w:rsidRPr="00E30471">
        <w:rPr>
          <w:rFonts w:cstheme="majorHAnsi"/>
          <w:color w:val="0E2841" w:themeColor="text2"/>
        </w:rPr>
        <w:t>%</w:t>
      </w:r>
      <w:r w:rsidR="0006116B" w:rsidRPr="00FF3BB3">
        <w:rPr>
          <w:rFonts w:cstheme="majorHAnsi"/>
          <w:color w:val="0E2841" w:themeColor="text2"/>
          <w:lang w:val="sr-Latn-RS"/>
        </w:rPr>
        <w:t>, 'Opštinsko</w:t>
      </w:r>
      <w:r>
        <w:rPr>
          <w:rFonts w:cstheme="majorHAnsi"/>
          <w:color w:val="0E2841" w:themeColor="text2"/>
          <w:lang w:val="sr-Latn-RS"/>
        </w:rPr>
        <w:t xml:space="preserve"> upravljanje' </w:t>
      </w:r>
      <w:r w:rsidR="004B2307">
        <w:rPr>
          <w:rFonts w:cstheme="majorHAnsi"/>
          <w:color w:val="0E2841" w:themeColor="text2"/>
        </w:rPr>
        <w:t>33.55</w:t>
      </w:r>
      <w:r>
        <w:rPr>
          <w:rFonts w:cstheme="majorHAnsi"/>
          <w:color w:val="0E2841" w:themeColor="text2"/>
          <w:lang w:val="sr-Latn-RS"/>
        </w:rPr>
        <w:t>% i 'Pružanje</w:t>
      </w:r>
      <w:r w:rsidR="0006116B" w:rsidRPr="00FF3BB3">
        <w:rPr>
          <w:rFonts w:cstheme="majorHAnsi"/>
          <w:color w:val="0E2841" w:themeColor="text2"/>
          <w:lang w:val="sr-Latn-RS"/>
        </w:rPr>
        <w:t xml:space="preserve"> usluga' </w:t>
      </w:r>
      <w:r w:rsidR="004B2307">
        <w:rPr>
          <w:rFonts w:cstheme="majorHAnsi"/>
          <w:color w:val="0E2841" w:themeColor="text2"/>
        </w:rPr>
        <w:t>36.32</w:t>
      </w:r>
      <w:r w:rsidR="0006116B" w:rsidRPr="00FF3BB3">
        <w:rPr>
          <w:rFonts w:cstheme="majorHAnsi"/>
          <w:color w:val="0E2841" w:themeColor="text2"/>
          <w:lang w:val="sr-Latn-RS"/>
        </w:rPr>
        <w:t>%.</w:t>
      </w:r>
    </w:p>
    <w:p w14:paraId="19862973" w14:textId="604650AE" w:rsidR="0006116B" w:rsidRDefault="0006116B" w:rsidP="00FF3BB3">
      <w:pPr>
        <w:pStyle w:val="Caption"/>
        <w:jc w:val="both"/>
        <w:rPr>
          <w:lang w:val="sr-Latn-RS"/>
        </w:rPr>
      </w:pPr>
      <w:r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Pr="00FF3BB3">
        <w:rPr>
          <w:noProof/>
          <w:lang w:val="sr-Latn-RS"/>
        </w:rPr>
        <w:t>9</w:t>
      </w:r>
      <w:r w:rsidR="00C274C4" w:rsidRPr="00FF3BB3">
        <w:rPr>
          <w:noProof/>
          <w:lang w:val="sr-Latn-RS"/>
        </w:rPr>
        <w:fldChar w:fldCharType="end"/>
      </w:r>
      <w:r w:rsidR="009A68B6">
        <w:rPr>
          <w:noProof/>
          <w:lang w:val="sr-Latn-RS"/>
        </w:rPr>
        <w:t>.</w:t>
      </w:r>
      <w:r w:rsidRPr="00FF3BB3">
        <w:rPr>
          <w:lang w:val="sr-Latn-RS"/>
        </w:rPr>
        <w:t xml:space="preserve"> Prosečan procenat učinka p</w:t>
      </w:r>
      <w:r w:rsidR="00C04BCD">
        <w:rPr>
          <w:lang w:val="sr-Latn-RS"/>
        </w:rPr>
        <w:t xml:space="preserve">rema oblastima </w:t>
      </w:r>
    </w:p>
    <w:p w14:paraId="4AF0E184" w14:textId="5C5EADA0" w:rsidR="0006116B" w:rsidRPr="00C62707" w:rsidRDefault="00A718F0" w:rsidP="00C62707">
      <w:pPr>
        <w:rPr>
          <w:lang w:val="sr-Latn-RS"/>
        </w:rPr>
      </w:pPr>
      <w:r w:rsidRPr="00A718F0">
        <w:rPr>
          <w:noProof/>
          <w:color w:val="E97132" w:themeColor="accent2"/>
          <w:lang w:val="en-GB" w:eastAsia="en-GB"/>
          <w14:ligatures w14:val="standardContextual"/>
        </w:rPr>
        <w:drawing>
          <wp:anchor distT="0" distB="0" distL="114300" distR="114300" simplePos="0" relativeHeight="251807744" behindDoc="0" locked="0" layoutInCell="1" allowOverlap="1" wp14:anchorId="20839A65" wp14:editId="435A9B44">
            <wp:simplePos x="0" y="0"/>
            <wp:positionH relativeFrom="column">
              <wp:posOffset>0</wp:posOffset>
            </wp:positionH>
            <wp:positionV relativeFrom="paragraph">
              <wp:posOffset>-3175</wp:posOffset>
            </wp:positionV>
            <wp:extent cx="3638550" cy="2243138"/>
            <wp:effectExtent l="0" t="0" r="0" b="5080"/>
            <wp:wrapSquare wrapText="bothSides"/>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1440FB3-1C6D-4662-80D7-F9295FC33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06116B" w:rsidRPr="00FF3BB3">
        <w:rPr>
          <w:rFonts w:cstheme="majorHAnsi"/>
          <w:color w:val="0E2841" w:themeColor="text2"/>
          <w:lang w:val="sr-Latn-RS"/>
        </w:rPr>
        <w:t>Za učinak 202</w:t>
      </w:r>
      <w:r>
        <w:rPr>
          <w:rFonts w:cstheme="majorHAnsi"/>
          <w:color w:val="0E2841" w:themeColor="text2"/>
          <w:lang w:val="sr-Latn-RS"/>
        </w:rPr>
        <w:t>4</w:t>
      </w:r>
      <w:r w:rsidR="0006116B" w:rsidRPr="00FF3BB3">
        <w:rPr>
          <w:rFonts w:cstheme="majorHAnsi"/>
          <w:color w:val="0E2841" w:themeColor="text2"/>
          <w:lang w:val="sr-Latn-RS"/>
        </w:rPr>
        <w:t>. godine, opštine su imale veći učinak u oblasti demokratskog upravljanja.</w:t>
      </w:r>
    </w:p>
    <w:p w14:paraId="16085C66" w14:textId="702BC48F" w:rsidR="0006116B" w:rsidRPr="00FF3BB3" w:rsidRDefault="00F71BE1" w:rsidP="00FF3BB3">
      <w:pPr>
        <w:jc w:val="both"/>
        <w:rPr>
          <w:rFonts w:cstheme="majorHAnsi"/>
          <w:color w:val="0E2841" w:themeColor="text2"/>
          <w:lang w:val="sr-Latn-RS"/>
        </w:rPr>
      </w:pPr>
      <w:r>
        <w:rPr>
          <w:rFonts w:cstheme="majorHAnsi"/>
          <w:color w:val="0E2841" w:themeColor="text2"/>
          <w:lang w:val="sr-Latn-RS"/>
        </w:rPr>
        <w:t>Takođe</w:t>
      </w:r>
      <w:r w:rsidR="0006116B" w:rsidRPr="00FF3BB3">
        <w:rPr>
          <w:rFonts w:cstheme="majorHAnsi"/>
          <w:color w:val="0E2841" w:themeColor="text2"/>
          <w:lang w:val="sr-Latn-RS"/>
        </w:rPr>
        <w:t>, i među opštinama korisnicama, opštine su imale veći učinak u istoj oblasti.</w:t>
      </w:r>
    </w:p>
    <w:p w14:paraId="59CD678E" w14:textId="52C4867C" w:rsidR="0006116B" w:rsidRPr="00FF3BB3" w:rsidRDefault="0006116B" w:rsidP="00FF3BB3">
      <w:pPr>
        <w:jc w:val="both"/>
        <w:rPr>
          <w:rFonts w:cstheme="majorHAnsi"/>
          <w:color w:val="0E2841" w:themeColor="text2"/>
          <w:lang w:val="sr-Latn-RS"/>
        </w:rPr>
      </w:pPr>
      <w:r w:rsidRPr="00FF3BB3">
        <w:rPr>
          <w:rFonts w:cstheme="majorHAnsi"/>
          <w:color w:val="0E2841" w:themeColor="text2"/>
          <w:lang w:val="sr-Latn-RS"/>
        </w:rPr>
        <w:t>Dok, što se tiče učinka u oblastima u poslednje tri godine iz donjeg grafikona možemo primetiti da su opštine imale najveći rast u oblasti pružanja usluga.</w:t>
      </w:r>
    </w:p>
    <w:p w14:paraId="380A9CC3" w14:textId="77777777" w:rsidR="0006116B" w:rsidRDefault="0006116B" w:rsidP="00FF3BB3">
      <w:pPr>
        <w:spacing w:after="200" w:line="240" w:lineRule="auto"/>
        <w:jc w:val="both"/>
        <w:rPr>
          <w:rFonts w:ascii="Calibri" w:hAnsi="Calibri" w:cs="Times New Roman"/>
          <w:b/>
          <w:iCs/>
          <w:sz w:val="18"/>
          <w:szCs w:val="18"/>
          <w:highlight w:val="lightGray"/>
          <w:lang w:val="sr-Latn-RS"/>
        </w:rPr>
      </w:pPr>
    </w:p>
    <w:p w14:paraId="407F1A15" w14:textId="77777777" w:rsidR="00A80A80" w:rsidRPr="00FF3BB3" w:rsidRDefault="00A80A80" w:rsidP="00FF3BB3">
      <w:pPr>
        <w:spacing w:after="200" w:line="240" w:lineRule="auto"/>
        <w:jc w:val="both"/>
        <w:rPr>
          <w:rFonts w:ascii="Calibri" w:hAnsi="Calibri" w:cs="Times New Roman"/>
          <w:b/>
          <w:iCs/>
          <w:sz w:val="18"/>
          <w:szCs w:val="18"/>
          <w:highlight w:val="lightGray"/>
          <w:lang w:val="sr-Latn-RS"/>
        </w:rPr>
      </w:pPr>
    </w:p>
    <w:p w14:paraId="0A2CA714" w14:textId="1427324D" w:rsidR="0006116B" w:rsidRDefault="0006116B" w:rsidP="00FF3BB3">
      <w:pPr>
        <w:pStyle w:val="Caption"/>
        <w:jc w:val="both"/>
        <w:rPr>
          <w:lang w:val="sr-Latn-RS"/>
        </w:rPr>
      </w:pPr>
      <w:r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Pr="00FF3BB3">
        <w:rPr>
          <w:noProof/>
          <w:lang w:val="sr-Latn-RS"/>
        </w:rPr>
        <w:t>10</w:t>
      </w:r>
      <w:r w:rsidR="00C274C4" w:rsidRPr="00FF3BB3">
        <w:rPr>
          <w:noProof/>
          <w:lang w:val="sr-Latn-RS"/>
        </w:rPr>
        <w:fldChar w:fldCharType="end"/>
      </w:r>
      <w:r w:rsidR="00F71BE1">
        <w:rPr>
          <w:noProof/>
          <w:lang w:val="sr-Latn-RS"/>
        </w:rPr>
        <w:t>.</w:t>
      </w:r>
      <w:r w:rsidRPr="00FF3BB3">
        <w:rPr>
          <w:lang w:val="sr-Latn-RS"/>
        </w:rPr>
        <w:t xml:space="preserve"> Prosečan učinak opština u % prema oblastima u poslednje tri godine</w:t>
      </w:r>
    </w:p>
    <w:p w14:paraId="0ABAECFA" w14:textId="0202AB04" w:rsidR="00152B56" w:rsidRPr="00152B56" w:rsidRDefault="001D375A" w:rsidP="00152B56">
      <w:pPr>
        <w:rPr>
          <w:lang w:val="sr-Latn-RS"/>
        </w:rPr>
      </w:pPr>
      <w:r>
        <w:rPr>
          <w:noProof/>
          <w:lang w:val="en-GB" w:eastAsia="en-GB"/>
          <w14:ligatures w14:val="standardContextual"/>
        </w:rPr>
        <w:lastRenderedPageBreak/>
        <w:drawing>
          <wp:inline distT="0" distB="0" distL="0" distR="0" wp14:anchorId="3B676FD3" wp14:editId="06035593">
            <wp:extent cx="5919788" cy="2743200"/>
            <wp:effectExtent l="0" t="0" r="5080" b="0"/>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0937AC9-88DD-4B70-B39A-CF0A64655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12739E" w14:textId="77777777" w:rsidR="0006116B" w:rsidRPr="00FF3BB3" w:rsidRDefault="0006116B" w:rsidP="00FF3BB3">
      <w:pPr>
        <w:spacing w:after="200" w:line="240" w:lineRule="auto"/>
        <w:jc w:val="both"/>
        <w:rPr>
          <w:rFonts w:cstheme="majorHAnsi"/>
          <w:sz w:val="21"/>
          <w:szCs w:val="21"/>
          <w:lang w:val="sr-Latn-RS"/>
        </w:rPr>
      </w:pPr>
    </w:p>
    <w:p w14:paraId="54EA6DEE" w14:textId="2C050409" w:rsidR="0006116B" w:rsidRPr="00FF3BB3" w:rsidRDefault="0006116B" w:rsidP="00FF3BB3">
      <w:pPr>
        <w:spacing w:after="200" w:line="240" w:lineRule="auto"/>
        <w:jc w:val="both"/>
        <w:rPr>
          <w:rFonts w:cstheme="majorHAnsi"/>
          <w:color w:val="0E2841" w:themeColor="text2"/>
          <w:lang w:val="sr-Latn-RS"/>
        </w:rPr>
      </w:pPr>
      <w:r w:rsidRPr="00FF3BB3">
        <w:rPr>
          <w:rFonts w:cstheme="majorHAnsi"/>
          <w:color w:val="0E2841" w:themeColor="text2"/>
          <w:lang w:val="sr-Latn-RS"/>
        </w:rPr>
        <w:t xml:space="preserve">Rezultati </w:t>
      </w:r>
      <w:r w:rsidR="00F71BE1">
        <w:rPr>
          <w:rFonts w:cstheme="majorHAnsi"/>
          <w:color w:val="0E2841" w:themeColor="text2"/>
          <w:lang w:val="sr-Latn-RS"/>
        </w:rPr>
        <w:t>pokazatelja grant</w:t>
      </w:r>
      <w:r w:rsidRPr="00FF3BB3">
        <w:rPr>
          <w:rFonts w:cstheme="majorHAnsi"/>
          <w:color w:val="0E2841" w:themeColor="text2"/>
          <w:lang w:val="sr-Latn-RS"/>
        </w:rPr>
        <w:t>a učinka za sve opštine prema oblastima, pod</w:t>
      </w:r>
      <w:r w:rsidR="00F71BE1">
        <w:rPr>
          <w:rFonts w:cstheme="majorHAnsi"/>
          <w:color w:val="0E2841" w:themeColor="text2"/>
          <w:lang w:val="sr-Latn-RS"/>
        </w:rPr>
        <w:t>-oblastima</w:t>
      </w:r>
      <w:r w:rsidRPr="00FF3BB3">
        <w:rPr>
          <w:rFonts w:cstheme="majorHAnsi"/>
          <w:color w:val="0E2841" w:themeColor="text2"/>
          <w:lang w:val="sr-Latn-RS"/>
        </w:rPr>
        <w:t xml:space="preserve">, </w:t>
      </w:r>
      <w:r w:rsidR="00F71BE1">
        <w:rPr>
          <w:rFonts w:cstheme="majorHAnsi"/>
          <w:color w:val="0E2841" w:themeColor="text2"/>
          <w:lang w:val="sr-Latn-RS"/>
        </w:rPr>
        <w:t xml:space="preserve">pokazateljima </w:t>
      </w:r>
      <w:r w:rsidRPr="00FF3BB3">
        <w:rPr>
          <w:rFonts w:cstheme="majorHAnsi"/>
          <w:color w:val="0E2841" w:themeColor="text2"/>
          <w:lang w:val="sr-Latn-RS"/>
        </w:rPr>
        <w:t>prikazani su u Prilogu 2.</w:t>
      </w:r>
    </w:p>
    <w:p w14:paraId="40883547" w14:textId="2CACA117" w:rsidR="0006116B" w:rsidRPr="00FF3BB3" w:rsidRDefault="0006116B" w:rsidP="00FF3BB3">
      <w:pPr>
        <w:keepNext/>
        <w:tabs>
          <w:tab w:val="left" w:pos="810"/>
        </w:tabs>
        <w:spacing w:before="240" w:after="0" w:line="240" w:lineRule="auto"/>
        <w:outlineLvl w:val="0"/>
        <w:rPr>
          <w:rFonts w:eastAsiaTheme="majorEastAsia" w:cstheme="majorHAnsi"/>
          <w:b/>
          <w:color w:val="0E2841" w:themeColor="text2"/>
          <w:sz w:val="24"/>
          <w:szCs w:val="24"/>
          <w:lang w:val="sr-Latn-RS"/>
        </w:rPr>
      </w:pPr>
      <w:bookmarkStart w:id="20" w:name="_Toc224550095"/>
      <w:r w:rsidRPr="00FF3BB3">
        <w:rPr>
          <w:rFonts w:eastAsiaTheme="majorEastAsia" w:cstheme="majorHAnsi"/>
          <w:b/>
          <w:color w:val="0E2841" w:themeColor="text2"/>
          <w:sz w:val="24"/>
          <w:szCs w:val="24"/>
          <w:lang w:val="sr-Latn-RS"/>
        </w:rPr>
        <w:t xml:space="preserve">2.2.2.1 Učinak </w:t>
      </w:r>
      <w:r w:rsidR="00CA2E28">
        <w:rPr>
          <w:rFonts w:eastAsiaTheme="majorEastAsia" w:cstheme="majorHAnsi"/>
          <w:b/>
          <w:color w:val="0E2841" w:themeColor="text2"/>
          <w:sz w:val="24"/>
          <w:szCs w:val="24"/>
          <w:lang w:val="sr-Latn-RS"/>
        </w:rPr>
        <w:t>GOU</w:t>
      </w:r>
      <w:r w:rsidR="00F71BE1">
        <w:rPr>
          <w:rFonts w:eastAsiaTheme="majorEastAsia" w:cstheme="majorHAnsi"/>
          <w:b/>
          <w:color w:val="0E2841" w:themeColor="text2"/>
          <w:sz w:val="24"/>
          <w:szCs w:val="24"/>
          <w:lang w:val="sr-Latn-RS"/>
        </w:rPr>
        <w:t>-a</w:t>
      </w:r>
      <w:r w:rsidRPr="00FF3BB3">
        <w:rPr>
          <w:rFonts w:eastAsiaTheme="majorEastAsia" w:cstheme="majorHAnsi"/>
          <w:b/>
          <w:color w:val="0E2841" w:themeColor="text2"/>
          <w:sz w:val="24"/>
          <w:szCs w:val="24"/>
          <w:lang w:val="sr-Latn-RS"/>
        </w:rPr>
        <w:t xml:space="preserve"> u oblasti demokratskog upravljanja</w:t>
      </w:r>
      <w:bookmarkEnd w:id="20"/>
      <w:r w:rsidRPr="00FF3BB3">
        <w:rPr>
          <w:rFonts w:eastAsiaTheme="majorEastAsia" w:cstheme="majorHAnsi"/>
          <w:b/>
          <w:color w:val="0E2841" w:themeColor="text2"/>
          <w:sz w:val="24"/>
          <w:szCs w:val="24"/>
          <w:lang w:val="sr-Latn-RS"/>
        </w:rPr>
        <w:t xml:space="preserve"> </w:t>
      </w:r>
      <w:bookmarkStart w:id="21" w:name="_Hlk175732653"/>
    </w:p>
    <w:p w14:paraId="4470BB43" w14:textId="4A1BC9F3" w:rsidR="0006116B" w:rsidRPr="00FF3BB3" w:rsidRDefault="00903801" w:rsidP="00FF3BB3">
      <w:pPr>
        <w:spacing w:before="60" w:line="264" w:lineRule="auto"/>
        <w:jc w:val="both"/>
        <w:rPr>
          <w:rFonts w:cstheme="majorHAnsi"/>
          <w:color w:val="0E2841" w:themeColor="text2"/>
          <w:lang w:val="sr-Latn-RS"/>
        </w:rPr>
      </w:pPr>
      <w:bookmarkStart w:id="22" w:name="_Hlk177165022"/>
      <w:r>
        <w:rPr>
          <w:rFonts w:cstheme="majorHAnsi"/>
          <w:color w:val="0E2841" w:themeColor="text2"/>
          <w:lang w:val="sr-Latn-RS"/>
        </w:rPr>
        <w:t xml:space="preserve">Prosečni </w:t>
      </w:r>
      <w:r w:rsidR="0006116B" w:rsidRPr="00FF3BB3">
        <w:rPr>
          <w:rFonts w:cstheme="majorHAnsi"/>
          <w:color w:val="0E2841" w:themeColor="text2"/>
          <w:lang w:val="sr-Latn-RS"/>
        </w:rPr>
        <w:t xml:space="preserve">učinak 38 opština u </w:t>
      </w:r>
      <w:bookmarkEnd w:id="21"/>
      <w:r w:rsidR="0006116B" w:rsidRPr="00FF3BB3">
        <w:rPr>
          <w:rFonts w:cstheme="majorHAnsi"/>
          <w:color w:val="0E2841" w:themeColor="text2"/>
          <w:lang w:val="sr-Latn-RS"/>
        </w:rPr>
        <w:t xml:space="preserve">12 </w:t>
      </w:r>
      <w:r>
        <w:rPr>
          <w:rFonts w:cstheme="majorHAnsi"/>
          <w:color w:val="0E2841" w:themeColor="text2"/>
          <w:lang w:val="sr-Latn-RS"/>
        </w:rPr>
        <w:t>pokazatelja pr</w:t>
      </w:r>
      <w:r w:rsidR="0006116B" w:rsidRPr="00FF3BB3">
        <w:rPr>
          <w:rFonts w:cstheme="majorHAnsi"/>
          <w:color w:val="0E2841" w:themeColor="text2"/>
          <w:lang w:val="sr-Latn-RS"/>
        </w:rPr>
        <w:t xml:space="preserve">ocenjenih u okviru teme </w:t>
      </w:r>
      <w:bookmarkStart w:id="23" w:name="_Hlk175732977"/>
      <w:r w:rsidR="0006116B" w:rsidRPr="00FF3BB3">
        <w:rPr>
          <w:rFonts w:cstheme="majorHAnsi"/>
          <w:color w:val="0E2841" w:themeColor="text2"/>
          <w:lang w:val="sr-Latn-RS"/>
        </w:rPr>
        <w:t xml:space="preserve">„Demokratsko upravljanje“ </w:t>
      </w:r>
      <w:bookmarkEnd w:id="23"/>
      <w:r w:rsidR="0006116B" w:rsidRPr="00FF3BB3">
        <w:rPr>
          <w:rFonts w:cstheme="majorHAnsi"/>
          <w:color w:val="0E2841" w:themeColor="text2"/>
          <w:lang w:val="sr-Latn-RS"/>
        </w:rPr>
        <w:t xml:space="preserve">iznosi </w:t>
      </w:r>
      <w:r w:rsidR="00B55E6A">
        <w:rPr>
          <w:rFonts w:cstheme="majorHAnsi"/>
          <w:color w:val="0E2841" w:themeColor="text2"/>
        </w:rPr>
        <w:t>20.6</w:t>
      </w:r>
      <w:r w:rsidR="00B55E6A" w:rsidRPr="00E30471">
        <w:rPr>
          <w:rFonts w:cstheme="majorHAnsi"/>
          <w:color w:val="0E2841" w:themeColor="text2"/>
        </w:rPr>
        <w:t xml:space="preserve"> </w:t>
      </w:r>
      <w:r>
        <w:rPr>
          <w:rFonts w:cstheme="majorHAnsi"/>
          <w:color w:val="0E2841" w:themeColor="text2"/>
          <w:lang w:val="sr-Latn-RS"/>
        </w:rPr>
        <w:t>bodova</w:t>
      </w:r>
      <w:r w:rsidR="0006116B" w:rsidRPr="00FF3BB3">
        <w:rPr>
          <w:rFonts w:cstheme="majorHAnsi"/>
          <w:color w:val="0E2841" w:themeColor="text2"/>
          <w:lang w:val="sr-Latn-RS"/>
        </w:rPr>
        <w:t xml:space="preserve"> od ukupno </w:t>
      </w:r>
      <w:r w:rsidR="00B55E6A">
        <w:rPr>
          <w:rFonts w:cstheme="majorHAnsi"/>
          <w:color w:val="0E2841" w:themeColor="text2"/>
          <w:lang w:val="sr-Latn-RS"/>
        </w:rPr>
        <w:t>40</w:t>
      </w:r>
      <w:r w:rsidR="0006116B" w:rsidRPr="00FF3BB3">
        <w:rPr>
          <w:rFonts w:cstheme="majorHAnsi"/>
          <w:color w:val="0E2841" w:themeColor="text2"/>
          <w:lang w:val="sr-Latn-RS"/>
        </w:rPr>
        <w:t xml:space="preserve"> mogućih </w:t>
      </w:r>
      <w:r>
        <w:rPr>
          <w:rFonts w:cstheme="majorHAnsi"/>
          <w:color w:val="0E2841" w:themeColor="text2"/>
          <w:lang w:val="sr-Latn-RS"/>
        </w:rPr>
        <w:t>bodova</w:t>
      </w:r>
      <w:r w:rsidR="0006116B" w:rsidRPr="00FF3BB3">
        <w:rPr>
          <w:rFonts w:cstheme="majorHAnsi"/>
          <w:color w:val="0E2841" w:themeColor="text2"/>
          <w:lang w:val="sr-Latn-RS"/>
        </w:rPr>
        <w:t xml:space="preserve"> u ovoj oblasti (</w:t>
      </w:r>
      <w:r w:rsidR="00B55E6A">
        <w:rPr>
          <w:rFonts w:cstheme="majorHAnsi"/>
          <w:color w:val="0E2841" w:themeColor="text2"/>
          <w:lang w:val="sr-Latn-RS"/>
        </w:rPr>
        <w:t>51,6</w:t>
      </w:r>
      <w:r w:rsidR="0006116B" w:rsidRPr="00FF3BB3">
        <w:rPr>
          <w:rFonts w:cstheme="majorHAnsi"/>
          <w:color w:val="0E2841" w:themeColor="text2"/>
          <w:lang w:val="sr-Latn-RS"/>
        </w:rPr>
        <w:t>%).</w:t>
      </w:r>
      <w:bookmarkStart w:id="24" w:name="_Hlk175732993"/>
      <w:r w:rsidR="0006116B" w:rsidRPr="00FF3BB3">
        <w:rPr>
          <w:rFonts w:cstheme="majorHAnsi"/>
          <w:color w:val="0E2841" w:themeColor="text2"/>
          <w:lang w:val="sr-Latn-RS"/>
        </w:rPr>
        <w:t xml:space="preserve"> </w:t>
      </w:r>
      <w:bookmarkStart w:id="25" w:name="_Hlk176810190"/>
      <w:r w:rsidR="0006116B" w:rsidRPr="00FF3BB3">
        <w:rPr>
          <w:rFonts w:cstheme="majorHAnsi"/>
          <w:color w:val="0E2841" w:themeColor="text2"/>
          <w:lang w:val="sr-Latn-RS"/>
        </w:rPr>
        <w:t>Opštin</w:t>
      </w:r>
      <w:r w:rsidR="00B55E6A">
        <w:rPr>
          <w:rFonts w:cstheme="majorHAnsi"/>
          <w:color w:val="0E2841" w:themeColor="text2"/>
          <w:lang w:val="sr-Latn-RS"/>
        </w:rPr>
        <w:t>a</w:t>
      </w:r>
      <w:r w:rsidR="0006116B" w:rsidRPr="00FF3BB3">
        <w:rPr>
          <w:rFonts w:cstheme="majorHAnsi"/>
          <w:color w:val="0E2841" w:themeColor="text2"/>
          <w:lang w:val="sr-Latn-RS"/>
        </w:rPr>
        <w:t xml:space="preserve"> sa najvećim učinkom u ovoj oblasti </w:t>
      </w:r>
      <w:r w:rsidR="00B55E6A">
        <w:rPr>
          <w:rFonts w:cstheme="majorHAnsi"/>
          <w:color w:val="0E2841" w:themeColor="text2"/>
          <w:lang w:val="sr-Latn-RS"/>
        </w:rPr>
        <w:t>je</w:t>
      </w:r>
      <w:r w:rsidR="0006116B" w:rsidRPr="00FF3BB3">
        <w:rPr>
          <w:rFonts w:cstheme="majorHAnsi"/>
          <w:color w:val="0E2841" w:themeColor="text2"/>
          <w:lang w:val="sr-Latn-RS"/>
        </w:rPr>
        <w:t xml:space="preserve">: </w:t>
      </w:r>
      <w:r w:rsidR="00B55E6A">
        <w:rPr>
          <w:rFonts w:cstheme="majorHAnsi"/>
          <w:color w:val="0E2841" w:themeColor="text2"/>
          <w:lang w:val="sr-Latn-RS"/>
        </w:rPr>
        <w:t>Obilić</w:t>
      </w:r>
      <w:r>
        <w:rPr>
          <w:rFonts w:cstheme="majorHAnsi"/>
          <w:color w:val="0E2841" w:themeColor="text2"/>
          <w:lang w:val="sr-Latn-RS"/>
        </w:rPr>
        <w:t xml:space="preserve"> </w:t>
      </w:r>
      <w:r w:rsidR="0006116B" w:rsidRPr="00FF3BB3">
        <w:rPr>
          <w:rFonts w:cstheme="majorHAnsi"/>
          <w:color w:val="0E2841" w:themeColor="text2"/>
          <w:lang w:val="sr-Latn-RS"/>
        </w:rPr>
        <w:t>sa 3</w:t>
      </w:r>
      <w:r w:rsidR="00B55E6A">
        <w:rPr>
          <w:rFonts w:cstheme="majorHAnsi"/>
          <w:color w:val="0E2841" w:themeColor="text2"/>
          <w:lang w:val="sr-Latn-RS"/>
        </w:rPr>
        <w:t>9</w:t>
      </w:r>
      <w:r w:rsidR="0006116B" w:rsidRPr="00FF3BB3">
        <w:rPr>
          <w:rFonts w:cstheme="majorHAnsi"/>
          <w:color w:val="0E2841" w:themeColor="text2"/>
          <w:lang w:val="sr-Latn-RS"/>
        </w:rPr>
        <w:t xml:space="preserve"> </w:t>
      </w:r>
      <w:r>
        <w:rPr>
          <w:rFonts w:cstheme="majorHAnsi"/>
          <w:color w:val="0E2841" w:themeColor="text2"/>
          <w:lang w:val="sr-Latn-RS"/>
        </w:rPr>
        <w:t>bodova</w:t>
      </w:r>
      <w:r w:rsidR="0006116B" w:rsidRPr="00FF3BB3">
        <w:rPr>
          <w:rFonts w:cstheme="majorHAnsi"/>
          <w:color w:val="0E2841" w:themeColor="text2"/>
          <w:lang w:val="sr-Latn-RS"/>
        </w:rPr>
        <w:t xml:space="preserve"> (</w:t>
      </w:r>
      <w:r w:rsidR="00B55E6A">
        <w:rPr>
          <w:rFonts w:cstheme="majorHAnsi"/>
          <w:color w:val="0E2841" w:themeColor="text2"/>
        </w:rPr>
        <w:t>97.50</w:t>
      </w:r>
      <w:r w:rsidR="0006116B" w:rsidRPr="00FF3BB3">
        <w:rPr>
          <w:rFonts w:cstheme="majorHAnsi"/>
          <w:color w:val="0E2841" w:themeColor="text2"/>
          <w:lang w:val="sr-Latn-RS"/>
        </w:rPr>
        <w:t>%), dok među opštinama korisnicama</w:t>
      </w:r>
      <w:r w:rsidR="00B55E6A">
        <w:rPr>
          <w:rFonts w:cstheme="majorHAnsi"/>
          <w:color w:val="0E2841" w:themeColor="text2"/>
          <w:lang w:val="sr-Latn-RS"/>
        </w:rPr>
        <w:t xml:space="preserve"> GOU</w:t>
      </w:r>
      <w:r w:rsidR="0006116B" w:rsidRPr="00FF3BB3">
        <w:rPr>
          <w:rFonts w:cstheme="majorHAnsi"/>
          <w:color w:val="0E2841" w:themeColor="text2"/>
          <w:lang w:val="sr-Latn-RS"/>
        </w:rPr>
        <w:t xml:space="preserve"> najveći učinak u demokratskom upravljanju ima </w:t>
      </w:r>
      <w:r w:rsidR="00937CF2" w:rsidRPr="00FF3BB3">
        <w:rPr>
          <w:rFonts w:cstheme="majorHAnsi"/>
          <w:color w:val="0E2841" w:themeColor="text2"/>
          <w:lang w:val="sr-Latn-RS"/>
        </w:rPr>
        <w:t xml:space="preserve">Opština </w:t>
      </w:r>
      <w:r w:rsidR="00B55E6A">
        <w:rPr>
          <w:rFonts w:cstheme="majorHAnsi"/>
          <w:color w:val="0E2841" w:themeColor="text2"/>
          <w:lang w:val="sr-Latn-RS"/>
        </w:rPr>
        <w:t>Orahovac</w:t>
      </w:r>
      <w:r w:rsidR="0006116B" w:rsidRPr="00FF3BB3">
        <w:rPr>
          <w:rFonts w:cstheme="majorHAnsi"/>
          <w:color w:val="0E2841" w:themeColor="text2"/>
          <w:lang w:val="sr-Latn-RS"/>
        </w:rPr>
        <w:t xml:space="preserve"> 3</w:t>
      </w:r>
      <w:r w:rsidR="00B55E6A">
        <w:rPr>
          <w:rFonts w:cstheme="majorHAnsi"/>
          <w:color w:val="0E2841" w:themeColor="text2"/>
          <w:lang w:val="sr-Latn-RS"/>
        </w:rPr>
        <w:t>8</w:t>
      </w:r>
      <w:r w:rsidR="0006116B" w:rsidRPr="00FF3BB3">
        <w:rPr>
          <w:rFonts w:cstheme="majorHAnsi"/>
          <w:color w:val="0E2841" w:themeColor="text2"/>
          <w:lang w:val="sr-Latn-RS"/>
        </w:rPr>
        <w:t xml:space="preserve"> </w:t>
      </w:r>
      <w:r>
        <w:rPr>
          <w:rFonts w:cstheme="majorHAnsi"/>
          <w:color w:val="0E2841" w:themeColor="text2"/>
          <w:lang w:val="sr-Latn-RS"/>
        </w:rPr>
        <w:t>bodova</w:t>
      </w:r>
      <w:r w:rsidR="0006116B" w:rsidRPr="00FF3BB3">
        <w:rPr>
          <w:rFonts w:cstheme="majorHAnsi"/>
          <w:color w:val="0E2841" w:themeColor="text2"/>
          <w:lang w:val="sr-Latn-RS"/>
        </w:rPr>
        <w:t xml:space="preserve"> (</w:t>
      </w:r>
      <w:r w:rsidR="00B55E6A">
        <w:rPr>
          <w:rFonts w:cstheme="majorHAnsi"/>
          <w:color w:val="0E2841" w:themeColor="text2"/>
        </w:rPr>
        <w:t>95.00</w:t>
      </w:r>
      <w:r w:rsidR="0006116B" w:rsidRPr="00FF3BB3">
        <w:rPr>
          <w:rFonts w:cstheme="majorHAnsi"/>
          <w:color w:val="0E2841" w:themeColor="text2"/>
          <w:lang w:val="sr-Latn-RS"/>
        </w:rPr>
        <w:t>%).</w:t>
      </w:r>
    </w:p>
    <w:p w14:paraId="33CCC458" w14:textId="4B5E16B3" w:rsidR="0006116B" w:rsidRPr="00FF3BB3" w:rsidRDefault="0006116B" w:rsidP="00FF3BB3">
      <w:pPr>
        <w:spacing w:before="60" w:line="264" w:lineRule="auto"/>
        <w:jc w:val="both"/>
        <w:rPr>
          <w:rFonts w:cstheme="majorHAnsi"/>
          <w:color w:val="0E2841" w:themeColor="text2"/>
          <w:lang w:val="sr-Latn-RS"/>
        </w:rPr>
      </w:pPr>
      <w:r w:rsidRPr="00FF3BB3">
        <w:rPr>
          <w:rFonts w:cstheme="majorHAnsi"/>
          <w:color w:val="0E2841" w:themeColor="text2"/>
          <w:lang w:val="sr-Latn-RS"/>
        </w:rPr>
        <w:t xml:space="preserve">Dok, sa 0 </w:t>
      </w:r>
      <w:r w:rsidR="005A35F3">
        <w:rPr>
          <w:rFonts w:cstheme="majorHAnsi"/>
          <w:color w:val="0E2841" w:themeColor="text2"/>
          <w:lang w:val="sr-Latn-RS"/>
        </w:rPr>
        <w:t>bodova</w:t>
      </w:r>
      <w:r w:rsidRPr="00FF3BB3">
        <w:rPr>
          <w:rFonts w:cstheme="majorHAnsi"/>
          <w:color w:val="0E2841" w:themeColor="text2"/>
          <w:lang w:val="sr-Latn-RS"/>
        </w:rPr>
        <w:t xml:space="preserve"> u ovoj oblasti, najniži učinak je imala </w:t>
      </w:r>
      <w:r w:rsidR="00937CF2" w:rsidRPr="00FF3BB3">
        <w:rPr>
          <w:rFonts w:cstheme="majorHAnsi"/>
          <w:color w:val="0E2841" w:themeColor="text2"/>
          <w:lang w:val="sr-Latn-RS"/>
        </w:rPr>
        <w:t xml:space="preserve">Opština </w:t>
      </w:r>
      <w:r w:rsidR="00B55E6A">
        <w:rPr>
          <w:rFonts w:cstheme="majorHAnsi"/>
          <w:color w:val="0E2841" w:themeColor="text2"/>
          <w:lang w:val="sr-Latn-RS"/>
        </w:rPr>
        <w:t>Novo Brdo</w:t>
      </w:r>
      <w:r w:rsidRPr="00FF3BB3">
        <w:rPr>
          <w:rFonts w:cstheme="majorHAnsi"/>
          <w:color w:val="0E2841" w:themeColor="text2"/>
          <w:lang w:val="sr-Latn-RS"/>
        </w:rPr>
        <w:t xml:space="preserve"> </w:t>
      </w:r>
      <w:r w:rsidR="00903801">
        <w:rPr>
          <w:rFonts w:cstheme="majorHAnsi"/>
          <w:color w:val="0E2841" w:themeColor="text2"/>
          <w:lang w:val="sr-Latn-RS"/>
        </w:rPr>
        <w:t xml:space="preserve">a </w:t>
      </w:r>
      <w:r w:rsidRPr="00FF3BB3">
        <w:rPr>
          <w:rFonts w:cstheme="majorHAnsi"/>
          <w:color w:val="0E2841" w:themeColor="text2"/>
          <w:lang w:val="sr-Latn-RS"/>
        </w:rPr>
        <w:t xml:space="preserve">zatim </w:t>
      </w:r>
      <w:r w:rsidR="00B55E6A">
        <w:rPr>
          <w:rFonts w:cstheme="majorHAnsi"/>
          <w:color w:val="0E2841" w:themeColor="text2"/>
          <w:lang w:val="sr-Latn-RS"/>
        </w:rPr>
        <w:t xml:space="preserve">Opština Severna Mitrovica </w:t>
      </w:r>
      <w:r w:rsidRPr="00FF3BB3">
        <w:rPr>
          <w:rFonts w:cstheme="majorHAnsi"/>
          <w:color w:val="0E2841" w:themeColor="text2"/>
          <w:lang w:val="sr-Latn-RS"/>
        </w:rPr>
        <w:t xml:space="preserve"> sa </w:t>
      </w:r>
      <w:r w:rsidR="00B55E6A">
        <w:rPr>
          <w:rFonts w:cstheme="majorHAnsi"/>
          <w:color w:val="0E2841" w:themeColor="text2"/>
          <w:lang w:val="sr-Latn-RS"/>
        </w:rPr>
        <w:t>4</w:t>
      </w:r>
      <w:r w:rsidRPr="00FF3BB3">
        <w:rPr>
          <w:rFonts w:cstheme="majorHAnsi"/>
          <w:color w:val="0E2841" w:themeColor="text2"/>
          <w:lang w:val="sr-Latn-RS"/>
        </w:rPr>
        <w:t xml:space="preserve"> </w:t>
      </w:r>
      <w:r w:rsidR="00903801">
        <w:rPr>
          <w:rFonts w:cstheme="majorHAnsi"/>
          <w:color w:val="0E2841" w:themeColor="text2"/>
          <w:lang w:val="sr-Latn-RS"/>
        </w:rPr>
        <w:t>bodova</w:t>
      </w:r>
      <w:r w:rsidRPr="00FF3BB3">
        <w:rPr>
          <w:rFonts w:cstheme="majorHAnsi"/>
          <w:color w:val="0E2841" w:themeColor="text2"/>
          <w:lang w:val="sr-Latn-RS"/>
        </w:rPr>
        <w:t xml:space="preserve"> ili </w:t>
      </w:r>
      <w:r w:rsidR="00B55E6A">
        <w:rPr>
          <w:rFonts w:cstheme="majorHAnsi"/>
          <w:color w:val="0E2841" w:themeColor="text2"/>
          <w:lang w:val="sr-Latn-RS"/>
        </w:rPr>
        <w:t>10</w:t>
      </w:r>
      <w:r w:rsidRPr="00FF3BB3">
        <w:rPr>
          <w:rFonts w:cstheme="majorHAnsi"/>
          <w:color w:val="0E2841" w:themeColor="text2"/>
          <w:lang w:val="sr-Latn-RS"/>
        </w:rPr>
        <w:t>%.</w:t>
      </w:r>
    </w:p>
    <w:bookmarkEnd w:id="22"/>
    <w:p w14:paraId="519536FD" w14:textId="77777777" w:rsidR="0006116B" w:rsidRPr="00FF3BB3" w:rsidRDefault="0006116B" w:rsidP="00FF3BB3">
      <w:pPr>
        <w:pStyle w:val="Caption"/>
        <w:jc w:val="center"/>
        <w:rPr>
          <w:lang w:val="sr-Latn-RS"/>
        </w:rPr>
      </w:pPr>
      <w:r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Pr="00FF3BB3">
        <w:rPr>
          <w:noProof/>
          <w:lang w:val="sr-Latn-RS"/>
        </w:rPr>
        <w:t>11</w:t>
      </w:r>
      <w:r w:rsidR="00C274C4" w:rsidRPr="00FF3BB3">
        <w:rPr>
          <w:noProof/>
          <w:lang w:val="sr-Latn-RS"/>
        </w:rPr>
        <w:fldChar w:fldCharType="end"/>
      </w:r>
      <w:r w:rsidRPr="00FF3BB3">
        <w:rPr>
          <w:lang w:val="sr-Latn-RS"/>
        </w:rPr>
        <w:t xml:space="preserve"> Najveći, prosečni i najniži učinak u demokratskom upravljanju</w:t>
      </w:r>
    </w:p>
    <w:p w14:paraId="646B6BA3" w14:textId="4787759A" w:rsidR="0006116B" w:rsidRPr="00FF3BB3" w:rsidRDefault="00B55E6A" w:rsidP="00FF3BB3">
      <w:pPr>
        <w:spacing w:before="60" w:line="264" w:lineRule="auto"/>
        <w:jc w:val="center"/>
        <w:rPr>
          <w:rFonts w:ascii="Aptos" w:hAnsi="Aptos"/>
          <w:kern w:val="2"/>
          <w:sz w:val="21"/>
          <w:szCs w:val="21"/>
          <w:lang w:val="sr-Latn-RS"/>
          <w14:ligatures w14:val="standardContextual"/>
        </w:rPr>
      </w:pPr>
      <w:r>
        <w:rPr>
          <w:noProof/>
          <w:lang w:val="en-GB" w:eastAsia="en-GB"/>
          <w14:ligatures w14:val="standardContextual"/>
        </w:rPr>
        <w:drawing>
          <wp:inline distT="0" distB="0" distL="0" distR="0" wp14:anchorId="32B772C2" wp14:editId="0AD1931E">
            <wp:extent cx="5786438" cy="2100263"/>
            <wp:effectExtent l="0" t="0" r="5080" b="14605"/>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D1B5BDA-2270-40FF-9273-8A8AE94B8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bookmarkEnd w:id="25"/>
    <w:p w14:paraId="080D435B" w14:textId="2B27A9A3" w:rsidR="0006116B" w:rsidRDefault="0006116B" w:rsidP="00FF3BB3">
      <w:pPr>
        <w:pStyle w:val="Caption"/>
        <w:jc w:val="both"/>
        <w:rPr>
          <w:lang w:val="sr-Latn-RS"/>
        </w:rPr>
      </w:pPr>
      <w:r w:rsidRPr="00FF3BB3">
        <w:rPr>
          <w:lang w:val="sr-Latn-RS"/>
        </w:rPr>
        <w:t xml:space="preserve">Grafikon </w:t>
      </w:r>
      <w:r w:rsidR="00C274C4" w:rsidRPr="00FF3BB3">
        <w:rPr>
          <w:noProof/>
          <w:lang w:val="sr-Latn-RS"/>
        </w:rPr>
        <w:fldChar w:fldCharType="begin"/>
      </w:r>
      <w:r w:rsidR="00C274C4" w:rsidRPr="00FF3BB3">
        <w:rPr>
          <w:noProof/>
          <w:lang w:val="sr-Latn-RS"/>
        </w:rPr>
        <w:instrText xml:space="preserve"> SEQ Figure \* ARABIC </w:instrText>
      </w:r>
      <w:r w:rsidR="00C274C4" w:rsidRPr="00FF3BB3">
        <w:rPr>
          <w:noProof/>
          <w:lang w:val="sr-Latn-RS"/>
        </w:rPr>
        <w:fldChar w:fldCharType="separate"/>
      </w:r>
      <w:r w:rsidRPr="00FF3BB3">
        <w:rPr>
          <w:noProof/>
          <w:lang w:val="sr-Latn-RS"/>
        </w:rPr>
        <w:t>12</w:t>
      </w:r>
      <w:r w:rsidR="00C274C4" w:rsidRPr="00FF3BB3">
        <w:rPr>
          <w:noProof/>
          <w:lang w:val="sr-Latn-RS"/>
        </w:rPr>
        <w:fldChar w:fldCharType="end"/>
      </w:r>
      <w:r w:rsidRPr="00FF3BB3">
        <w:rPr>
          <w:lang w:val="sr-Latn-RS"/>
        </w:rPr>
        <w:t xml:space="preserve"> Učinak opština u pod</w:t>
      </w:r>
      <w:r w:rsidR="00903801">
        <w:rPr>
          <w:lang w:val="sr-Latn-RS"/>
        </w:rPr>
        <w:t>-</w:t>
      </w:r>
      <w:r w:rsidRPr="00FF3BB3">
        <w:rPr>
          <w:lang w:val="sr-Latn-RS"/>
        </w:rPr>
        <w:t>oblastima demokratskog upravljanja</w:t>
      </w:r>
    </w:p>
    <w:p w14:paraId="7FDDA630" w14:textId="147F8837" w:rsidR="0006116B" w:rsidRPr="00A80A80" w:rsidRDefault="003434A3" w:rsidP="00A80A80">
      <w:pPr>
        <w:jc w:val="both"/>
        <w:rPr>
          <w:lang w:val="sr-Latn-RS"/>
        </w:rPr>
      </w:pPr>
      <w:bookmarkStart w:id="26" w:name="_Hlk177166416"/>
      <w:r>
        <w:rPr>
          <w:noProof/>
          <w:lang w:val="en-GB" w:eastAsia="en-GB"/>
          <w14:ligatures w14:val="standardContextual"/>
        </w:rPr>
        <w:lastRenderedPageBreak/>
        <w:drawing>
          <wp:anchor distT="0" distB="0" distL="114300" distR="114300" simplePos="0" relativeHeight="251808768" behindDoc="0" locked="0" layoutInCell="1" allowOverlap="1" wp14:anchorId="36462A80" wp14:editId="48F6A206">
            <wp:simplePos x="0" y="0"/>
            <wp:positionH relativeFrom="column">
              <wp:posOffset>0</wp:posOffset>
            </wp:positionH>
            <wp:positionV relativeFrom="paragraph">
              <wp:posOffset>0</wp:posOffset>
            </wp:positionV>
            <wp:extent cx="3467100" cy="2743200"/>
            <wp:effectExtent l="0" t="0" r="0" b="0"/>
            <wp:wrapSquare wrapText="bothSides"/>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FCE5190-6B56-4841-B095-862BDE0AC1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r w:rsidR="0006116B" w:rsidRPr="00FF3BB3">
        <w:rPr>
          <w:rFonts w:cstheme="majorHAnsi"/>
          <w:color w:val="0E2841" w:themeColor="text2"/>
          <w:lang w:val="sr-Latn-RS"/>
        </w:rPr>
        <w:t>U pod</w:t>
      </w:r>
      <w:r w:rsidR="004908DF">
        <w:rPr>
          <w:rFonts w:cstheme="majorHAnsi"/>
          <w:color w:val="0E2841" w:themeColor="text2"/>
          <w:lang w:val="sr-Latn-RS"/>
        </w:rPr>
        <w:t>-</w:t>
      </w:r>
      <w:r w:rsidR="0006116B" w:rsidRPr="00FF3BB3">
        <w:rPr>
          <w:rFonts w:cstheme="majorHAnsi"/>
          <w:color w:val="0E2841" w:themeColor="text2"/>
          <w:lang w:val="sr-Latn-RS"/>
        </w:rPr>
        <w:t xml:space="preserve">oblasti „Uloga Skupštine opštine“ kao nadzornog organa, ukupan prosečni učinak za </w:t>
      </w:r>
      <w:r w:rsidR="00C02C98">
        <w:rPr>
          <w:rFonts w:cstheme="majorHAnsi"/>
          <w:color w:val="0E2841" w:themeColor="text2"/>
          <w:lang w:val="sr-Latn-RS"/>
        </w:rPr>
        <w:t>5</w:t>
      </w:r>
      <w:r w:rsidR="0006116B" w:rsidRPr="00FF3BB3">
        <w:rPr>
          <w:rFonts w:cstheme="majorHAnsi"/>
          <w:color w:val="0E2841" w:themeColor="text2"/>
          <w:lang w:val="sr-Latn-RS"/>
        </w:rPr>
        <w:t xml:space="preserve"> </w:t>
      </w:r>
      <w:r w:rsidR="004908DF">
        <w:rPr>
          <w:rFonts w:cstheme="majorHAnsi"/>
          <w:color w:val="0E2841" w:themeColor="text2"/>
          <w:lang w:val="sr-Latn-RS"/>
        </w:rPr>
        <w:t>pr</w:t>
      </w:r>
      <w:r w:rsidR="0006116B" w:rsidRPr="00FF3BB3">
        <w:rPr>
          <w:rFonts w:cstheme="majorHAnsi"/>
          <w:color w:val="0E2841" w:themeColor="text2"/>
          <w:lang w:val="sr-Latn-RS"/>
        </w:rPr>
        <w:t xml:space="preserve">ocenjena </w:t>
      </w:r>
      <w:r w:rsidR="004908DF">
        <w:rPr>
          <w:rFonts w:cstheme="majorHAnsi"/>
          <w:color w:val="0E2841" w:themeColor="text2"/>
          <w:lang w:val="sr-Latn-RS"/>
        </w:rPr>
        <w:t>pokazatelja</w:t>
      </w:r>
      <w:r w:rsidR="0006116B" w:rsidRPr="00FF3BB3">
        <w:rPr>
          <w:rFonts w:cstheme="majorHAnsi"/>
          <w:color w:val="0E2841" w:themeColor="text2"/>
          <w:lang w:val="sr-Latn-RS"/>
        </w:rPr>
        <w:t xml:space="preserve"> je </w:t>
      </w:r>
      <w:r w:rsidR="002F59DA">
        <w:rPr>
          <w:rFonts w:cstheme="majorHAnsi"/>
          <w:color w:val="0E2841" w:themeColor="text2"/>
          <w:lang w:val="sr-Latn-RS"/>
        </w:rPr>
        <w:t>6,9</w:t>
      </w:r>
      <w:r w:rsidR="0006116B" w:rsidRPr="00FF3BB3">
        <w:rPr>
          <w:rFonts w:cstheme="majorHAnsi"/>
          <w:color w:val="0E2841" w:themeColor="text2"/>
          <w:lang w:val="sr-Latn-RS"/>
        </w:rPr>
        <w:t xml:space="preserve"> </w:t>
      </w:r>
      <w:r w:rsidR="004908DF">
        <w:rPr>
          <w:rFonts w:cstheme="majorHAnsi"/>
          <w:color w:val="0E2841" w:themeColor="text2"/>
          <w:lang w:val="sr-Latn-RS"/>
        </w:rPr>
        <w:t>bodova</w:t>
      </w:r>
      <w:r w:rsidR="0006116B" w:rsidRPr="00FF3BB3">
        <w:rPr>
          <w:rFonts w:cstheme="majorHAnsi"/>
          <w:color w:val="0E2841" w:themeColor="text2"/>
          <w:lang w:val="sr-Latn-RS"/>
        </w:rPr>
        <w:t xml:space="preserve"> od </w:t>
      </w:r>
      <w:r w:rsidR="002F59DA">
        <w:rPr>
          <w:rFonts w:cstheme="majorHAnsi"/>
          <w:color w:val="0E2841" w:themeColor="text2"/>
          <w:lang w:val="sr-Latn-RS"/>
        </w:rPr>
        <w:t>12</w:t>
      </w:r>
      <w:r w:rsidR="0006116B" w:rsidRPr="00FF3BB3">
        <w:rPr>
          <w:rFonts w:cstheme="majorHAnsi"/>
          <w:color w:val="0E2841" w:themeColor="text2"/>
          <w:lang w:val="sr-Latn-RS"/>
        </w:rPr>
        <w:t xml:space="preserve"> mogućih </w:t>
      </w:r>
      <w:r w:rsidR="004908DF">
        <w:rPr>
          <w:rFonts w:cstheme="majorHAnsi"/>
          <w:color w:val="0E2841" w:themeColor="text2"/>
          <w:lang w:val="sr-Latn-RS"/>
        </w:rPr>
        <w:t>bodova</w:t>
      </w:r>
      <w:r w:rsidR="0006116B" w:rsidRPr="00FF3BB3">
        <w:rPr>
          <w:rFonts w:cstheme="majorHAnsi"/>
          <w:color w:val="0E2841" w:themeColor="text2"/>
          <w:lang w:val="sr-Latn-RS"/>
        </w:rPr>
        <w:t xml:space="preserve"> (57,</w:t>
      </w:r>
      <w:r w:rsidR="002F59DA">
        <w:rPr>
          <w:rFonts w:cstheme="majorHAnsi"/>
          <w:color w:val="0E2841" w:themeColor="text2"/>
          <w:lang w:val="sr-Latn-RS"/>
        </w:rPr>
        <w:t>2</w:t>
      </w:r>
      <w:r w:rsidR="0006116B" w:rsidRPr="00FF3BB3">
        <w:rPr>
          <w:rFonts w:cstheme="majorHAnsi"/>
          <w:color w:val="0E2841" w:themeColor="text2"/>
          <w:lang w:val="sr-Latn-RS"/>
        </w:rPr>
        <w:t>%).</w:t>
      </w:r>
    </w:p>
    <w:p w14:paraId="753D7F1D" w14:textId="16505C7A" w:rsidR="0006116B" w:rsidRPr="00FF3BB3" w:rsidRDefault="0006116B" w:rsidP="00A80A80">
      <w:pPr>
        <w:spacing w:before="60" w:line="264" w:lineRule="auto"/>
        <w:jc w:val="both"/>
        <w:rPr>
          <w:rFonts w:cstheme="majorHAnsi"/>
          <w:color w:val="0E2841" w:themeColor="text2"/>
          <w:lang w:val="sr-Latn-RS"/>
        </w:rPr>
      </w:pPr>
      <w:r w:rsidRPr="00FF3BB3">
        <w:rPr>
          <w:rFonts w:cstheme="majorHAnsi"/>
          <w:color w:val="0E2841" w:themeColor="text2"/>
          <w:lang w:val="sr-Latn-RS"/>
        </w:rPr>
        <w:t>U pod</w:t>
      </w:r>
      <w:r w:rsidR="004908DF">
        <w:rPr>
          <w:rFonts w:cstheme="majorHAnsi"/>
          <w:color w:val="0E2841" w:themeColor="text2"/>
          <w:lang w:val="sr-Latn-RS"/>
        </w:rPr>
        <w:t>-</w:t>
      </w:r>
      <w:r w:rsidRPr="00FF3BB3">
        <w:rPr>
          <w:rFonts w:cstheme="majorHAnsi"/>
          <w:color w:val="0E2841" w:themeColor="text2"/>
          <w:lang w:val="sr-Latn-RS"/>
        </w:rPr>
        <w:t>oblasti „Učešće, konsultacije i</w:t>
      </w:r>
      <w:r w:rsidR="002F59DA">
        <w:rPr>
          <w:rFonts w:cstheme="majorHAnsi"/>
          <w:color w:val="0E2841" w:themeColor="text2"/>
          <w:lang w:val="sr-Latn-RS"/>
        </w:rPr>
        <w:t xml:space="preserve"> </w:t>
      </w:r>
      <w:r w:rsidR="004908DF">
        <w:rPr>
          <w:rFonts w:cstheme="majorHAnsi"/>
          <w:color w:val="0E2841" w:themeColor="text2"/>
          <w:lang w:val="sr-Latn-RS"/>
        </w:rPr>
        <w:t xml:space="preserve">sveobuhvatnost </w:t>
      </w:r>
      <w:r w:rsidRPr="00FF3BB3">
        <w:rPr>
          <w:rFonts w:cstheme="majorHAnsi"/>
          <w:color w:val="0E2841" w:themeColor="text2"/>
          <w:lang w:val="sr-Latn-RS"/>
        </w:rPr>
        <w:t xml:space="preserve">građana“ ukupan prosečni učinak za 3 </w:t>
      </w:r>
      <w:r w:rsidR="004908DF">
        <w:rPr>
          <w:rFonts w:cstheme="majorHAnsi"/>
          <w:color w:val="0E2841" w:themeColor="text2"/>
          <w:lang w:val="sr-Latn-RS"/>
        </w:rPr>
        <w:t>pr</w:t>
      </w:r>
      <w:r w:rsidRPr="00FF3BB3">
        <w:rPr>
          <w:rFonts w:cstheme="majorHAnsi"/>
          <w:color w:val="0E2841" w:themeColor="text2"/>
          <w:lang w:val="sr-Latn-RS"/>
        </w:rPr>
        <w:t xml:space="preserve">ocenjena </w:t>
      </w:r>
      <w:r w:rsidR="004908DF">
        <w:rPr>
          <w:rFonts w:cstheme="majorHAnsi"/>
          <w:color w:val="0E2841" w:themeColor="text2"/>
          <w:lang w:val="sr-Latn-RS"/>
        </w:rPr>
        <w:t xml:space="preserve">pokazatelja </w:t>
      </w:r>
      <w:r w:rsidRPr="00FF3BB3">
        <w:rPr>
          <w:rFonts w:cstheme="majorHAnsi"/>
          <w:color w:val="0E2841" w:themeColor="text2"/>
          <w:lang w:val="sr-Latn-RS"/>
        </w:rPr>
        <w:t xml:space="preserve">je </w:t>
      </w:r>
      <w:r w:rsidR="002F59DA">
        <w:rPr>
          <w:rFonts w:cstheme="majorHAnsi"/>
          <w:color w:val="0E2841" w:themeColor="text2"/>
          <w:lang w:val="sr-Latn-RS"/>
        </w:rPr>
        <w:t>4</w:t>
      </w:r>
      <w:r w:rsidRPr="00FF3BB3">
        <w:rPr>
          <w:rFonts w:cstheme="majorHAnsi"/>
          <w:color w:val="0E2841" w:themeColor="text2"/>
          <w:lang w:val="sr-Latn-RS"/>
        </w:rPr>
        <w:t xml:space="preserve">,9 </w:t>
      </w:r>
      <w:r w:rsidR="004908DF">
        <w:rPr>
          <w:rFonts w:cstheme="majorHAnsi"/>
          <w:color w:val="0E2841" w:themeColor="text2"/>
          <w:lang w:val="sr-Latn-RS"/>
        </w:rPr>
        <w:t>bodova</w:t>
      </w:r>
      <w:r w:rsidRPr="00FF3BB3">
        <w:rPr>
          <w:rFonts w:cstheme="majorHAnsi"/>
          <w:color w:val="0E2841" w:themeColor="text2"/>
          <w:lang w:val="sr-Latn-RS"/>
        </w:rPr>
        <w:t xml:space="preserve"> od 12 mogućih </w:t>
      </w:r>
      <w:r w:rsidR="004908DF">
        <w:rPr>
          <w:rFonts w:cstheme="majorHAnsi"/>
          <w:color w:val="0E2841" w:themeColor="text2"/>
          <w:lang w:val="sr-Latn-RS"/>
        </w:rPr>
        <w:t>bodova</w:t>
      </w:r>
      <w:r w:rsidRPr="00FF3BB3">
        <w:rPr>
          <w:rFonts w:cstheme="majorHAnsi"/>
          <w:color w:val="0E2841" w:themeColor="text2"/>
          <w:lang w:val="sr-Latn-RS"/>
        </w:rPr>
        <w:t xml:space="preserve"> (4</w:t>
      </w:r>
      <w:r w:rsidR="00B03936">
        <w:rPr>
          <w:rFonts w:cstheme="majorHAnsi"/>
          <w:color w:val="0E2841" w:themeColor="text2"/>
          <w:lang w:val="sr-Latn-RS"/>
        </w:rPr>
        <w:t>0</w:t>
      </w:r>
      <w:r w:rsidRPr="00FF3BB3">
        <w:rPr>
          <w:rFonts w:cstheme="majorHAnsi"/>
          <w:color w:val="0E2841" w:themeColor="text2"/>
          <w:lang w:val="sr-Latn-RS"/>
        </w:rPr>
        <w:t>,</w:t>
      </w:r>
      <w:r w:rsidR="00B03936">
        <w:rPr>
          <w:rFonts w:cstheme="majorHAnsi"/>
          <w:color w:val="0E2841" w:themeColor="text2"/>
          <w:lang w:val="sr-Latn-RS"/>
        </w:rPr>
        <w:t>8</w:t>
      </w:r>
      <w:r w:rsidRPr="00FF3BB3">
        <w:rPr>
          <w:rFonts w:cstheme="majorHAnsi"/>
          <w:color w:val="0E2841" w:themeColor="text2"/>
          <w:lang w:val="sr-Latn-RS"/>
        </w:rPr>
        <w:t>%).</w:t>
      </w:r>
    </w:p>
    <w:p w14:paraId="53426928" w14:textId="65A026FF" w:rsidR="0006116B" w:rsidRPr="00FF3BB3" w:rsidRDefault="0006116B" w:rsidP="00A80A80">
      <w:pPr>
        <w:spacing w:before="60" w:line="264" w:lineRule="auto"/>
        <w:jc w:val="both"/>
        <w:rPr>
          <w:rFonts w:cstheme="majorHAnsi"/>
          <w:color w:val="0E2841" w:themeColor="text2"/>
          <w:lang w:val="sr-Latn-RS"/>
        </w:rPr>
      </w:pPr>
      <w:r w:rsidRPr="00FF3BB3">
        <w:rPr>
          <w:rFonts w:cstheme="majorHAnsi"/>
          <w:color w:val="0E2841" w:themeColor="text2"/>
          <w:lang w:val="sr-Latn-RS"/>
        </w:rPr>
        <w:t>U pod</w:t>
      </w:r>
      <w:r w:rsidR="004908DF">
        <w:rPr>
          <w:rFonts w:cstheme="majorHAnsi"/>
          <w:color w:val="0E2841" w:themeColor="text2"/>
          <w:lang w:val="sr-Latn-RS"/>
        </w:rPr>
        <w:t>-</w:t>
      </w:r>
      <w:r w:rsidRPr="00FF3BB3">
        <w:rPr>
          <w:rFonts w:cstheme="majorHAnsi"/>
          <w:color w:val="0E2841" w:themeColor="text2"/>
          <w:lang w:val="sr-Latn-RS"/>
        </w:rPr>
        <w:t xml:space="preserve">oblasti „Transparentnost, pristup informacijama i integritet“ ukupan prosečni učinak za 5 </w:t>
      </w:r>
      <w:r w:rsidR="004908DF">
        <w:rPr>
          <w:rFonts w:cstheme="majorHAnsi"/>
          <w:color w:val="0E2841" w:themeColor="text2"/>
          <w:lang w:val="sr-Latn-RS"/>
        </w:rPr>
        <w:t>pr</w:t>
      </w:r>
      <w:r w:rsidR="004908DF" w:rsidRPr="00FF3BB3">
        <w:rPr>
          <w:rFonts w:cstheme="majorHAnsi"/>
          <w:color w:val="0E2841" w:themeColor="text2"/>
          <w:lang w:val="sr-Latn-RS"/>
        </w:rPr>
        <w:t xml:space="preserve">ocenjena </w:t>
      </w:r>
      <w:r w:rsidR="004908DF">
        <w:rPr>
          <w:rFonts w:cstheme="majorHAnsi"/>
          <w:color w:val="0E2841" w:themeColor="text2"/>
          <w:lang w:val="sr-Latn-RS"/>
        </w:rPr>
        <w:t>pokazatelja je</w:t>
      </w:r>
      <w:r w:rsidRPr="00FF3BB3">
        <w:rPr>
          <w:rFonts w:cstheme="majorHAnsi"/>
          <w:color w:val="0E2841" w:themeColor="text2"/>
          <w:lang w:val="sr-Latn-RS"/>
        </w:rPr>
        <w:t xml:space="preserve"> 8,</w:t>
      </w:r>
      <w:r w:rsidR="00B03936">
        <w:rPr>
          <w:rFonts w:cstheme="majorHAnsi"/>
          <w:color w:val="0E2841" w:themeColor="text2"/>
          <w:lang w:val="sr-Latn-RS"/>
        </w:rPr>
        <w:t>9</w:t>
      </w:r>
      <w:r w:rsidRPr="00FF3BB3">
        <w:rPr>
          <w:rFonts w:cstheme="majorHAnsi"/>
          <w:color w:val="0E2841" w:themeColor="text2"/>
          <w:lang w:val="sr-Latn-RS"/>
        </w:rPr>
        <w:t xml:space="preserve"> </w:t>
      </w:r>
      <w:r w:rsidR="004908DF">
        <w:rPr>
          <w:rFonts w:cstheme="majorHAnsi"/>
          <w:color w:val="0E2841" w:themeColor="text2"/>
          <w:lang w:val="sr-Latn-RS"/>
        </w:rPr>
        <w:t xml:space="preserve">bodova </w:t>
      </w:r>
      <w:r w:rsidRPr="00FF3BB3">
        <w:rPr>
          <w:rFonts w:cstheme="majorHAnsi"/>
          <w:color w:val="0E2841" w:themeColor="text2"/>
          <w:lang w:val="sr-Latn-RS"/>
        </w:rPr>
        <w:t xml:space="preserve">od 16 mogućih </w:t>
      </w:r>
      <w:r w:rsidR="004908DF">
        <w:rPr>
          <w:rFonts w:cstheme="majorHAnsi"/>
          <w:color w:val="0E2841" w:themeColor="text2"/>
          <w:lang w:val="sr-Latn-RS"/>
        </w:rPr>
        <w:t>bodova</w:t>
      </w:r>
      <w:r w:rsidRPr="00FF3BB3">
        <w:rPr>
          <w:rFonts w:cstheme="majorHAnsi"/>
          <w:color w:val="0E2841" w:themeColor="text2"/>
          <w:lang w:val="sr-Latn-RS"/>
        </w:rPr>
        <w:t xml:space="preserve"> (5</w:t>
      </w:r>
      <w:r w:rsidR="00B03936">
        <w:rPr>
          <w:rFonts w:cstheme="majorHAnsi"/>
          <w:color w:val="0E2841" w:themeColor="text2"/>
          <w:lang w:val="sr-Latn-RS"/>
        </w:rPr>
        <w:t>5</w:t>
      </w:r>
      <w:r w:rsidRPr="00FF3BB3">
        <w:rPr>
          <w:rFonts w:cstheme="majorHAnsi"/>
          <w:color w:val="0E2841" w:themeColor="text2"/>
          <w:lang w:val="sr-Latn-RS"/>
        </w:rPr>
        <w:t>,</w:t>
      </w:r>
      <w:r w:rsidR="00B03936">
        <w:rPr>
          <w:rFonts w:cstheme="majorHAnsi"/>
          <w:color w:val="0E2841" w:themeColor="text2"/>
          <w:lang w:val="sr-Latn-RS"/>
        </w:rPr>
        <w:t>4</w:t>
      </w:r>
      <w:r w:rsidRPr="00FF3BB3">
        <w:rPr>
          <w:rFonts w:cstheme="majorHAnsi"/>
          <w:color w:val="0E2841" w:themeColor="text2"/>
          <w:lang w:val="sr-Latn-RS"/>
        </w:rPr>
        <w:t>%).</w:t>
      </w:r>
    </w:p>
    <w:bookmarkEnd w:id="26"/>
    <w:p w14:paraId="35C8F37B" w14:textId="37B2A190" w:rsidR="0006116B" w:rsidRPr="00133224" w:rsidRDefault="0006116B" w:rsidP="00FF3BB3">
      <w:pPr>
        <w:spacing w:before="60" w:line="264" w:lineRule="auto"/>
        <w:jc w:val="both"/>
        <w:rPr>
          <w:rFonts w:cstheme="majorHAnsi"/>
          <w:color w:val="0E2841" w:themeColor="text2"/>
          <w:lang w:val="sr-Latn-RS"/>
        </w:rPr>
      </w:pPr>
      <w:r w:rsidRPr="00133224">
        <w:rPr>
          <w:rFonts w:cstheme="majorHAnsi"/>
          <w:color w:val="0E2841" w:themeColor="text2"/>
          <w:lang w:val="sr-Latn-RS"/>
        </w:rPr>
        <w:t xml:space="preserve">Opštine su najveći učinak </w:t>
      </w:r>
      <w:r w:rsidR="00133224" w:rsidRPr="00133224">
        <w:rPr>
          <w:rFonts w:cstheme="majorHAnsi"/>
          <w:color w:val="0E2841" w:themeColor="text2"/>
          <w:lang w:val="sr-Latn-RS"/>
        </w:rPr>
        <w:t xml:space="preserve">imale </w:t>
      </w:r>
      <w:r w:rsidRPr="00133224">
        <w:rPr>
          <w:rFonts w:cstheme="majorHAnsi"/>
          <w:color w:val="0E2841" w:themeColor="text2"/>
          <w:lang w:val="sr-Latn-RS"/>
        </w:rPr>
        <w:t>u oblasti „Uloga Skupštine opštine“.</w:t>
      </w:r>
    </w:p>
    <w:p w14:paraId="79318840" w14:textId="1D040D3D" w:rsidR="0006116B" w:rsidRPr="00133224" w:rsidRDefault="0006116B" w:rsidP="00FF3BB3">
      <w:pPr>
        <w:keepNext/>
        <w:tabs>
          <w:tab w:val="left" w:pos="810"/>
        </w:tabs>
        <w:spacing w:before="240" w:after="0" w:line="240" w:lineRule="auto"/>
        <w:outlineLvl w:val="0"/>
        <w:rPr>
          <w:rFonts w:eastAsiaTheme="majorEastAsia" w:cstheme="majorHAnsi"/>
          <w:b/>
          <w:color w:val="0E2841" w:themeColor="text2"/>
          <w:sz w:val="24"/>
          <w:szCs w:val="24"/>
          <w:lang w:val="sr-Latn-RS"/>
        </w:rPr>
      </w:pPr>
      <w:bookmarkStart w:id="27" w:name="_Toc224550096"/>
      <w:bookmarkEnd w:id="24"/>
      <w:r w:rsidRPr="00133224">
        <w:rPr>
          <w:rFonts w:eastAsiaTheme="majorEastAsia" w:cstheme="majorHAnsi"/>
          <w:b/>
          <w:color w:val="0E2841" w:themeColor="text2"/>
          <w:sz w:val="24"/>
          <w:szCs w:val="24"/>
          <w:lang w:val="sr-Latn-RS"/>
        </w:rPr>
        <w:t xml:space="preserve">2.2.2.2 Učinak </w:t>
      </w:r>
      <w:r w:rsidR="00133224" w:rsidRPr="00133224">
        <w:rPr>
          <w:rFonts w:eastAsiaTheme="majorEastAsia" w:cstheme="majorHAnsi"/>
          <w:b/>
          <w:color w:val="0E2841" w:themeColor="text2"/>
          <w:sz w:val="24"/>
          <w:szCs w:val="24"/>
          <w:lang w:val="sr-Latn-RS"/>
        </w:rPr>
        <w:t xml:space="preserve">za </w:t>
      </w:r>
      <w:r w:rsidR="00CA2E28" w:rsidRPr="00133224">
        <w:rPr>
          <w:rFonts w:eastAsiaTheme="majorEastAsia" w:cstheme="majorHAnsi"/>
          <w:b/>
          <w:color w:val="0E2841" w:themeColor="text2"/>
          <w:sz w:val="24"/>
          <w:szCs w:val="24"/>
          <w:lang w:val="sr-Latn-RS"/>
        </w:rPr>
        <w:t>GOU</w:t>
      </w:r>
      <w:r w:rsidRPr="00133224">
        <w:rPr>
          <w:rFonts w:eastAsiaTheme="majorEastAsia" w:cstheme="majorHAnsi"/>
          <w:b/>
          <w:color w:val="0E2841" w:themeColor="text2"/>
          <w:sz w:val="24"/>
          <w:szCs w:val="24"/>
          <w:lang w:val="sr-Latn-RS"/>
        </w:rPr>
        <w:t xml:space="preserve"> u oblasti „Opštinsko upravljanje“</w:t>
      </w:r>
      <w:bookmarkEnd w:id="27"/>
    </w:p>
    <w:p w14:paraId="7C4505E5" w14:textId="77777777" w:rsidR="0006116B" w:rsidRPr="004908DF" w:rsidRDefault="0006116B" w:rsidP="00FF3BB3">
      <w:pPr>
        <w:spacing w:before="60" w:after="0" w:line="264" w:lineRule="auto"/>
        <w:contextualSpacing/>
        <w:jc w:val="both"/>
        <w:rPr>
          <w:kern w:val="2"/>
          <w:sz w:val="21"/>
          <w:szCs w:val="21"/>
          <w:highlight w:val="yellow"/>
          <w:lang w:val="sr-Latn-RS"/>
          <w14:ligatures w14:val="standardContextual"/>
        </w:rPr>
      </w:pPr>
    </w:p>
    <w:p w14:paraId="7F000BC3" w14:textId="65E45C67" w:rsidR="0006116B" w:rsidRPr="00FF3BB3" w:rsidRDefault="00133224" w:rsidP="00FF3BB3">
      <w:pPr>
        <w:spacing w:before="60" w:line="264" w:lineRule="auto"/>
        <w:jc w:val="both"/>
        <w:rPr>
          <w:rFonts w:cstheme="majorHAnsi"/>
          <w:color w:val="0E2841" w:themeColor="text2"/>
          <w:lang w:val="sr-Latn-RS"/>
        </w:rPr>
      </w:pPr>
      <w:r w:rsidRPr="00133224">
        <w:rPr>
          <w:rFonts w:cstheme="majorHAnsi"/>
          <w:color w:val="0E2841" w:themeColor="text2"/>
          <w:lang w:val="sr-Latn-RS"/>
        </w:rPr>
        <w:t xml:space="preserve">Prosečan </w:t>
      </w:r>
      <w:r w:rsidR="0006116B" w:rsidRPr="00133224">
        <w:rPr>
          <w:rFonts w:cstheme="majorHAnsi"/>
          <w:color w:val="0E2841" w:themeColor="text2"/>
          <w:lang w:val="sr-Latn-RS"/>
        </w:rPr>
        <w:t xml:space="preserve">učinak 38 opština u 7 </w:t>
      </w:r>
      <w:r w:rsidRPr="00133224">
        <w:rPr>
          <w:rFonts w:cstheme="majorHAnsi"/>
          <w:color w:val="0E2841" w:themeColor="text2"/>
          <w:lang w:val="sr-Latn-RS"/>
        </w:rPr>
        <w:t>pokazatelja</w:t>
      </w:r>
      <w:r w:rsidR="0006116B" w:rsidRPr="00133224">
        <w:rPr>
          <w:rFonts w:cstheme="majorHAnsi"/>
          <w:color w:val="0E2841" w:themeColor="text2"/>
          <w:lang w:val="sr-Latn-RS"/>
        </w:rPr>
        <w:t xml:space="preserve"> </w:t>
      </w:r>
      <w:r w:rsidRPr="00133224">
        <w:rPr>
          <w:rFonts w:cstheme="majorHAnsi"/>
          <w:color w:val="0E2841" w:themeColor="text2"/>
          <w:lang w:val="sr-Latn-RS"/>
        </w:rPr>
        <w:t>pr</w:t>
      </w:r>
      <w:r w:rsidR="0006116B" w:rsidRPr="00133224">
        <w:rPr>
          <w:rFonts w:cstheme="majorHAnsi"/>
          <w:color w:val="0E2841" w:themeColor="text2"/>
          <w:lang w:val="sr-Latn-RS"/>
        </w:rPr>
        <w:t xml:space="preserve">ocenjenih u okviru oblasti „Opštinsko upravljanje“ </w:t>
      </w:r>
      <w:r w:rsidRPr="00133224">
        <w:rPr>
          <w:rFonts w:cstheme="majorHAnsi"/>
          <w:color w:val="0E2841" w:themeColor="text2"/>
          <w:lang w:val="sr-Latn-RS"/>
        </w:rPr>
        <w:t xml:space="preserve">je </w:t>
      </w:r>
      <w:r w:rsidR="00B03936">
        <w:rPr>
          <w:rFonts w:cstheme="majorHAnsi"/>
          <w:color w:val="0E2841" w:themeColor="text2"/>
          <w:lang w:val="sr-Latn-RS"/>
        </w:rPr>
        <w:t>9</w:t>
      </w:r>
      <w:r w:rsidR="0006116B" w:rsidRPr="00133224">
        <w:rPr>
          <w:rFonts w:cstheme="majorHAnsi"/>
          <w:color w:val="0E2841" w:themeColor="text2"/>
          <w:lang w:val="sr-Latn-RS"/>
        </w:rPr>
        <w:t xml:space="preserve">,4 </w:t>
      </w:r>
      <w:r w:rsidRPr="00133224">
        <w:rPr>
          <w:rFonts w:cstheme="majorHAnsi"/>
          <w:color w:val="0E2841" w:themeColor="text2"/>
          <w:lang w:val="sr-Latn-RS"/>
        </w:rPr>
        <w:t xml:space="preserve">bodova </w:t>
      </w:r>
      <w:r w:rsidR="0006116B" w:rsidRPr="00133224">
        <w:rPr>
          <w:rFonts w:cstheme="majorHAnsi"/>
          <w:color w:val="0E2841" w:themeColor="text2"/>
          <w:lang w:val="sr-Latn-RS"/>
        </w:rPr>
        <w:t>od ukupno 2</w:t>
      </w:r>
      <w:r w:rsidR="00B03936">
        <w:rPr>
          <w:rFonts w:cstheme="majorHAnsi"/>
          <w:color w:val="0E2841" w:themeColor="text2"/>
          <w:lang w:val="sr-Latn-RS"/>
        </w:rPr>
        <w:t>8</w:t>
      </w:r>
      <w:r w:rsidR="0006116B" w:rsidRPr="00133224">
        <w:rPr>
          <w:rFonts w:cstheme="majorHAnsi"/>
          <w:color w:val="0E2841" w:themeColor="text2"/>
          <w:lang w:val="sr-Latn-RS"/>
        </w:rPr>
        <w:t xml:space="preserve"> mogućih </w:t>
      </w:r>
      <w:r w:rsidRPr="00133224">
        <w:rPr>
          <w:rFonts w:cstheme="majorHAnsi"/>
          <w:color w:val="0E2841" w:themeColor="text2"/>
          <w:lang w:val="sr-Latn-RS"/>
        </w:rPr>
        <w:t xml:space="preserve">bodova </w:t>
      </w:r>
      <w:r w:rsidR="0006116B" w:rsidRPr="00133224">
        <w:rPr>
          <w:rFonts w:cstheme="majorHAnsi"/>
          <w:color w:val="0E2841" w:themeColor="text2"/>
          <w:lang w:val="sr-Latn-RS"/>
        </w:rPr>
        <w:t>u ovoj oblasti (</w:t>
      </w:r>
      <w:r w:rsidR="00B03936">
        <w:rPr>
          <w:rFonts w:cstheme="majorHAnsi"/>
          <w:color w:val="0E2841" w:themeColor="text2"/>
          <w:lang w:val="sr-Latn-RS"/>
        </w:rPr>
        <w:t>33,5</w:t>
      </w:r>
      <w:r w:rsidR="0006116B" w:rsidRPr="00133224">
        <w:rPr>
          <w:rFonts w:cstheme="majorHAnsi"/>
          <w:color w:val="0E2841" w:themeColor="text2"/>
          <w:lang w:val="sr-Latn-RS"/>
        </w:rPr>
        <w:t xml:space="preserve">%). Opštine sa najvećim učinkom u ovoj oblasti su: </w:t>
      </w:r>
      <w:r w:rsidRPr="00133224">
        <w:rPr>
          <w:rFonts w:cstheme="majorHAnsi"/>
          <w:color w:val="0E2841" w:themeColor="text2"/>
          <w:lang w:val="sr-Latn-RS"/>
        </w:rPr>
        <w:t>O</w:t>
      </w:r>
      <w:r w:rsidR="0006116B" w:rsidRPr="00133224">
        <w:rPr>
          <w:rFonts w:cstheme="majorHAnsi"/>
          <w:color w:val="0E2841" w:themeColor="text2"/>
          <w:lang w:val="sr-Latn-RS"/>
        </w:rPr>
        <w:t xml:space="preserve">pština </w:t>
      </w:r>
      <w:r w:rsidR="00B03936">
        <w:rPr>
          <w:rFonts w:cstheme="majorHAnsi"/>
          <w:color w:val="0E2841" w:themeColor="text2"/>
          <w:lang w:val="sr-Latn-RS"/>
        </w:rPr>
        <w:t>Prizren</w:t>
      </w:r>
      <w:r w:rsidR="0006116B" w:rsidRPr="00133224">
        <w:rPr>
          <w:rFonts w:cstheme="majorHAnsi"/>
          <w:color w:val="0E2841" w:themeColor="text2"/>
          <w:lang w:val="sr-Latn-RS"/>
        </w:rPr>
        <w:t xml:space="preserve"> 2</w:t>
      </w:r>
      <w:r w:rsidR="00B03936">
        <w:rPr>
          <w:rFonts w:cstheme="majorHAnsi"/>
          <w:color w:val="0E2841" w:themeColor="text2"/>
          <w:lang w:val="sr-Latn-RS"/>
        </w:rPr>
        <w:t>2</w:t>
      </w:r>
      <w:r w:rsidR="0006116B" w:rsidRPr="00133224">
        <w:rPr>
          <w:rFonts w:cstheme="majorHAnsi"/>
          <w:color w:val="0E2841" w:themeColor="text2"/>
          <w:lang w:val="sr-Latn-RS"/>
        </w:rPr>
        <w:t xml:space="preserve"> </w:t>
      </w:r>
      <w:r w:rsidRPr="00133224">
        <w:rPr>
          <w:rFonts w:cstheme="majorHAnsi"/>
          <w:color w:val="0E2841" w:themeColor="text2"/>
          <w:lang w:val="sr-Latn-RS"/>
        </w:rPr>
        <w:t>bodova</w:t>
      </w:r>
      <w:r w:rsidR="0006116B" w:rsidRPr="00133224">
        <w:rPr>
          <w:rFonts w:cstheme="majorHAnsi"/>
          <w:color w:val="0E2841" w:themeColor="text2"/>
          <w:lang w:val="sr-Latn-RS"/>
        </w:rPr>
        <w:t xml:space="preserve"> (</w:t>
      </w:r>
      <w:r w:rsidR="00B03936">
        <w:rPr>
          <w:rFonts w:cstheme="majorHAnsi"/>
          <w:color w:val="0E2841" w:themeColor="text2"/>
        </w:rPr>
        <w:t>78.6</w:t>
      </w:r>
      <w:r w:rsidR="0006116B" w:rsidRPr="00133224">
        <w:rPr>
          <w:rFonts w:cstheme="majorHAnsi"/>
          <w:color w:val="0E2841" w:themeColor="text2"/>
          <w:lang w:val="sr-Latn-RS"/>
        </w:rPr>
        <w:t xml:space="preserve">%) i </w:t>
      </w:r>
      <w:r w:rsidRPr="00133224">
        <w:rPr>
          <w:rFonts w:cstheme="majorHAnsi"/>
          <w:color w:val="0E2841" w:themeColor="text2"/>
          <w:lang w:val="sr-Latn-RS"/>
        </w:rPr>
        <w:t>O</w:t>
      </w:r>
      <w:r w:rsidR="0006116B" w:rsidRPr="00133224">
        <w:rPr>
          <w:rFonts w:cstheme="majorHAnsi"/>
          <w:color w:val="0E2841" w:themeColor="text2"/>
          <w:lang w:val="sr-Latn-RS"/>
        </w:rPr>
        <w:t xml:space="preserve">pština </w:t>
      </w:r>
      <w:r w:rsidR="00B03936">
        <w:rPr>
          <w:rFonts w:cstheme="majorHAnsi"/>
          <w:color w:val="0E2841" w:themeColor="text2"/>
          <w:lang w:val="sr-Latn-RS"/>
        </w:rPr>
        <w:t>Glogovac</w:t>
      </w:r>
      <w:r w:rsidRPr="00133224">
        <w:rPr>
          <w:rFonts w:cstheme="majorHAnsi"/>
          <w:color w:val="0E2841" w:themeColor="text2"/>
          <w:lang w:val="sr-Latn-RS"/>
        </w:rPr>
        <w:t xml:space="preserve"> </w:t>
      </w:r>
      <w:r w:rsidR="0006116B" w:rsidRPr="00133224">
        <w:rPr>
          <w:rFonts w:cstheme="majorHAnsi"/>
          <w:color w:val="0E2841" w:themeColor="text2"/>
          <w:lang w:val="sr-Latn-RS"/>
        </w:rPr>
        <w:t>sa 2</w:t>
      </w:r>
      <w:r w:rsidR="00B03936">
        <w:rPr>
          <w:rFonts w:cstheme="majorHAnsi"/>
          <w:color w:val="0E2841" w:themeColor="text2"/>
          <w:lang w:val="sr-Latn-RS"/>
        </w:rPr>
        <w:t>0</w:t>
      </w:r>
      <w:r w:rsidR="0006116B" w:rsidRPr="00133224">
        <w:rPr>
          <w:rFonts w:cstheme="majorHAnsi"/>
          <w:color w:val="0E2841" w:themeColor="text2"/>
          <w:lang w:val="sr-Latn-RS"/>
        </w:rPr>
        <w:t xml:space="preserve"> </w:t>
      </w:r>
      <w:r w:rsidRPr="00133224">
        <w:rPr>
          <w:rFonts w:cstheme="majorHAnsi"/>
          <w:color w:val="0E2841" w:themeColor="text2"/>
          <w:lang w:val="sr-Latn-RS"/>
        </w:rPr>
        <w:t xml:space="preserve">bodova </w:t>
      </w:r>
      <w:r w:rsidR="0006116B" w:rsidRPr="00133224">
        <w:rPr>
          <w:rFonts w:cstheme="majorHAnsi"/>
          <w:color w:val="0E2841" w:themeColor="text2"/>
          <w:lang w:val="sr-Latn-RS"/>
        </w:rPr>
        <w:t xml:space="preserve">ili </w:t>
      </w:r>
      <w:r w:rsidR="00B03936">
        <w:rPr>
          <w:rFonts w:cstheme="majorHAnsi"/>
          <w:color w:val="0E2841" w:themeColor="text2"/>
        </w:rPr>
        <w:t>71.4</w:t>
      </w:r>
      <w:r w:rsidR="0006116B" w:rsidRPr="00133224">
        <w:rPr>
          <w:rFonts w:cstheme="majorHAnsi"/>
          <w:color w:val="0E2841" w:themeColor="text2"/>
          <w:lang w:val="sr-Latn-RS"/>
        </w:rPr>
        <w:t>%.</w:t>
      </w:r>
    </w:p>
    <w:p w14:paraId="76DE39EA" w14:textId="5DA20133" w:rsidR="00047027" w:rsidRPr="00081D71" w:rsidRDefault="00081D71" w:rsidP="00081D71">
      <w:pPr>
        <w:spacing w:before="60" w:line="264" w:lineRule="auto"/>
        <w:jc w:val="both"/>
        <w:rPr>
          <w:rFonts w:cstheme="majorHAnsi"/>
          <w:color w:val="0E2841" w:themeColor="text2"/>
          <w:lang w:val="sr-Latn-RS"/>
        </w:rPr>
      </w:pPr>
      <w:r>
        <w:rPr>
          <w:noProof/>
          <w:lang w:val="en-GB" w:eastAsia="en-GB"/>
          <w14:ligatures w14:val="standardContextual"/>
        </w:rPr>
        <w:drawing>
          <wp:anchor distT="0" distB="0" distL="114300" distR="114300" simplePos="0" relativeHeight="251809792" behindDoc="0" locked="0" layoutInCell="1" allowOverlap="1" wp14:anchorId="2B14F272" wp14:editId="26BE82C0">
            <wp:simplePos x="0" y="0"/>
            <wp:positionH relativeFrom="column">
              <wp:posOffset>0</wp:posOffset>
            </wp:positionH>
            <wp:positionV relativeFrom="paragraph">
              <wp:posOffset>-3175</wp:posOffset>
            </wp:positionV>
            <wp:extent cx="3567113" cy="2743200"/>
            <wp:effectExtent l="0" t="0" r="14605" b="0"/>
            <wp:wrapSquare wrapText="bothSides"/>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CD2A326-BB75-4D51-B6E4-C0B116A67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06116B" w:rsidRPr="00A94638">
        <w:rPr>
          <w:rFonts w:cstheme="majorHAnsi"/>
          <w:color w:val="0E2841" w:themeColor="text2"/>
          <w:lang w:val="sr-Latn-RS"/>
        </w:rPr>
        <w:t xml:space="preserve">Dok, sa 0 </w:t>
      </w:r>
      <w:r w:rsidR="00A94638" w:rsidRPr="00A94638">
        <w:rPr>
          <w:rFonts w:cstheme="majorHAnsi"/>
          <w:color w:val="0E2841" w:themeColor="text2"/>
          <w:lang w:val="sr-Latn-RS"/>
        </w:rPr>
        <w:t xml:space="preserve">bodova </w:t>
      </w:r>
      <w:r w:rsidR="0006116B" w:rsidRPr="00A94638">
        <w:rPr>
          <w:rFonts w:cstheme="majorHAnsi"/>
          <w:color w:val="0E2841" w:themeColor="text2"/>
          <w:lang w:val="sr-Latn-RS"/>
        </w:rPr>
        <w:t xml:space="preserve">u ovoj oblasti, najniži učinak je imala </w:t>
      </w:r>
      <w:r w:rsidR="00937CF2" w:rsidRPr="00A94638">
        <w:rPr>
          <w:rFonts w:cstheme="majorHAnsi"/>
          <w:color w:val="0E2841" w:themeColor="text2"/>
          <w:lang w:val="sr-Latn-RS"/>
        </w:rPr>
        <w:t xml:space="preserve">Opština </w:t>
      </w:r>
      <w:r w:rsidR="00B03936">
        <w:rPr>
          <w:rFonts w:cstheme="majorHAnsi"/>
          <w:color w:val="0E2841" w:themeColor="text2"/>
          <w:lang w:val="sr-Latn-RS"/>
        </w:rPr>
        <w:t>Novo Brdo</w:t>
      </w:r>
      <w:r>
        <w:rPr>
          <w:rFonts w:cstheme="majorHAnsi"/>
          <w:color w:val="0E2841" w:themeColor="text2"/>
          <w:lang w:val="sr-Latn-RS"/>
        </w:rPr>
        <w:t xml:space="preserve">. </w:t>
      </w:r>
      <w:r w:rsidR="0006116B" w:rsidRPr="00A94638">
        <w:rPr>
          <w:rFonts w:cstheme="majorHAnsi"/>
          <w:color w:val="0E2841" w:themeColor="text2"/>
          <w:lang w:val="sr-Latn-RS"/>
        </w:rPr>
        <w:t xml:space="preserve">Dok je od opština korisnica </w:t>
      </w:r>
      <w:r>
        <w:rPr>
          <w:rFonts w:cstheme="majorHAnsi"/>
          <w:color w:val="0E2841" w:themeColor="text2"/>
          <w:lang w:val="sr-Latn-RS"/>
        </w:rPr>
        <w:t xml:space="preserve">GOU </w:t>
      </w:r>
      <w:r w:rsidR="00937CF2" w:rsidRPr="00A94638">
        <w:rPr>
          <w:rFonts w:cstheme="majorHAnsi"/>
          <w:color w:val="0E2841" w:themeColor="text2"/>
          <w:lang w:val="sr-Latn-RS"/>
        </w:rPr>
        <w:t xml:space="preserve">Opština </w:t>
      </w:r>
      <w:r w:rsidR="0006116B" w:rsidRPr="00A94638">
        <w:rPr>
          <w:rFonts w:cstheme="majorHAnsi"/>
          <w:color w:val="0E2841" w:themeColor="text2"/>
          <w:lang w:val="sr-Latn-RS"/>
        </w:rPr>
        <w:t xml:space="preserve">Parteš imala najmanji učinak sa 2 </w:t>
      </w:r>
      <w:r w:rsidR="00A94638" w:rsidRPr="00A94638">
        <w:rPr>
          <w:rFonts w:cstheme="majorHAnsi"/>
          <w:color w:val="0E2841" w:themeColor="text2"/>
          <w:lang w:val="sr-Latn-RS"/>
        </w:rPr>
        <w:t>bodova</w:t>
      </w:r>
      <w:r w:rsidR="0006116B" w:rsidRPr="00A94638">
        <w:rPr>
          <w:rFonts w:cstheme="majorHAnsi"/>
          <w:color w:val="0E2841" w:themeColor="text2"/>
          <w:lang w:val="sr-Latn-RS"/>
        </w:rPr>
        <w:t xml:space="preserve"> ili 7,</w:t>
      </w:r>
      <w:r>
        <w:rPr>
          <w:rFonts w:cstheme="majorHAnsi"/>
          <w:color w:val="0E2841" w:themeColor="text2"/>
          <w:lang w:val="sr-Latn-RS"/>
        </w:rPr>
        <w:t>1</w:t>
      </w:r>
      <w:r w:rsidR="0006116B" w:rsidRPr="00A94638">
        <w:rPr>
          <w:rFonts w:cstheme="majorHAnsi"/>
          <w:color w:val="0E2841" w:themeColor="text2"/>
          <w:lang w:val="sr-Latn-RS"/>
        </w:rPr>
        <w:t>%.</w:t>
      </w:r>
    </w:p>
    <w:p w14:paraId="30AE3256" w14:textId="636457D8" w:rsidR="0006116B" w:rsidRPr="00A94638" w:rsidRDefault="0006116B" w:rsidP="00FF3BB3">
      <w:pPr>
        <w:jc w:val="both"/>
        <w:rPr>
          <w:lang w:val="sr-Latn-RS"/>
        </w:rPr>
      </w:pPr>
      <w:bookmarkStart w:id="28" w:name="_Hlk177168036"/>
      <w:r w:rsidRPr="00A94638">
        <w:rPr>
          <w:rFonts w:cstheme="majorHAnsi"/>
          <w:color w:val="0E2841" w:themeColor="text2"/>
          <w:lang w:val="sr-Latn-RS"/>
        </w:rPr>
        <w:t>U pod</w:t>
      </w:r>
      <w:r w:rsidR="00133224" w:rsidRPr="00A94638">
        <w:rPr>
          <w:rFonts w:cstheme="majorHAnsi"/>
          <w:color w:val="0E2841" w:themeColor="text2"/>
          <w:lang w:val="sr-Latn-RS"/>
        </w:rPr>
        <w:t>-</w:t>
      </w:r>
      <w:r w:rsidRPr="00A94638">
        <w:rPr>
          <w:rFonts w:cstheme="majorHAnsi"/>
          <w:color w:val="0E2841" w:themeColor="text2"/>
          <w:lang w:val="sr-Latn-RS"/>
        </w:rPr>
        <w:t>oblasti „Finansijsk</w:t>
      </w:r>
      <w:r w:rsidR="00A94638" w:rsidRPr="00A94638">
        <w:rPr>
          <w:rFonts w:cstheme="majorHAnsi"/>
          <w:color w:val="0E2841" w:themeColor="text2"/>
          <w:lang w:val="sr-Latn-RS"/>
        </w:rPr>
        <w:t>o upravljanje</w:t>
      </w:r>
      <w:r w:rsidRPr="00A94638">
        <w:rPr>
          <w:rFonts w:cstheme="majorHAnsi"/>
          <w:color w:val="0E2841" w:themeColor="text2"/>
          <w:lang w:val="sr-Latn-RS"/>
        </w:rPr>
        <w:t xml:space="preserve">“, ukupan prosečni učinak za </w:t>
      </w:r>
      <w:r w:rsidR="00081D71">
        <w:rPr>
          <w:rFonts w:cstheme="majorHAnsi"/>
          <w:color w:val="0E2841" w:themeColor="text2"/>
          <w:lang w:val="sr-Latn-RS"/>
        </w:rPr>
        <w:t>2.5</w:t>
      </w:r>
      <w:r w:rsidRPr="00A94638">
        <w:rPr>
          <w:rFonts w:cstheme="majorHAnsi"/>
          <w:color w:val="0E2841" w:themeColor="text2"/>
          <w:lang w:val="sr-Latn-RS"/>
        </w:rPr>
        <w:t xml:space="preserve"> </w:t>
      </w:r>
      <w:r w:rsidR="00A94638" w:rsidRPr="00A94638">
        <w:rPr>
          <w:rFonts w:cstheme="majorHAnsi"/>
          <w:color w:val="0E2841" w:themeColor="text2"/>
          <w:lang w:val="sr-Latn-RS"/>
        </w:rPr>
        <w:t>pr</w:t>
      </w:r>
      <w:r w:rsidRPr="00A94638">
        <w:rPr>
          <w:rFonts w:cstheme="majorHAnsi"/>
          <w:color w:val="0E2841" w:themeColor="text2"/>
          <w:lang w:val="sr-Latn-RS"/>
        </w:rPr>
        <w:t xml:space="preserve">ocenjena </w:t>
      </w:r>
      <w:r w:rsidR="00A94638" w:rsidRPr="00A94638">
        <w:rPr>
          <w:rFonts w:cstheme="majorHAnsi"/>
          <w:color w:val="0E2841" w:themeColor="text2"/>
          <w:lang w:val="sr-Latn-RS"/>
        </w:rPr>
        <w:t xml:space="preserve">pokazatelja </w:t>
      </w:r>
      <w:r w:rsidRPr="00A94638">
        <w:rPr>
          <w:rFonts w:cstheme="majorHAnsi"/>
          <w:color w:val="0E2841" w:themeColor="text2"/>
          <w:lang w:val="sr-Latn-RS"/>
        </w:rPr>
        <w:t xml:space="preserve">je </w:t>
      </w:r>
      <w:r w:rsidR="00081D71">
        <w:rPr>
          <w:rFonts w:cstheme="majorHAnsi"/>
          <w:color w:val="0E2841" w:themeColor="text2"/>
          <w:lang w:val="sr-Latn-RS"/>
        </w:rPr>
        <w:t>4.1</w:t>
      </w:r>
      <w:r w:rsidRPr="00A94638">
        <w:rPr>
          <w:rFonts w:cstheme="majorHAnsi"/>
          <w:color w:val="0E2841" w:themeColor="text2"/>
          <w:lang w:val="sr-Latn-RS"/>
        </w:rPr>
        <w:t xml:space="preserve"> </w:t>
      </w:r>
      <w:r w:rsidR="00A94638" w:rsidRPr="00A94638">
        <w:rPr>
          <w:rFonts w:cstheme="majorHAnsi"/>
          <w:color w:val="0E2841" w:themeColor="text2"/>
          <w:lang w:val="sr-Latn-RS"/>
        </w:rPr>
        <w:t xml:space="preserve">bodova </w:t>
      </w:r>
      <w:r w:rsidRPr="00A94638">
        <w:rPr>
          <w:rFonts w:cstheme="majorHAnsi"/>
          <w:color w:val="0E2841" w:themeColor="text2"/>
          <w:lang w:val="sr-Latn-RS"/>
        </w:rPr>
        <w:t xml:space="preserve">od 11 mogućih </w:t>
      </w:r>
      <w:r w:rsidR="00A94638" w:rsidRPr="00A94638">
        <w:rPr>
          <w:rFonts w:cstheme="majorHAnsi"/>
          <w:color w:val="0E2841" w:themeColor="text2"/>
          <w:lang w:val="sr-Latn-RS"/>
        </w:rPr>
        <w:t xml:space="preserve">bodova </w:t>
      </w:r>
      <w:r w:rsidRPr="00A94638">
        <w:rPr>
          <w:rFonts w:cstheme="majorHAnsi"/>
          <w:color w:val="0E2841" w:themeColor="text2"/>
          <w:lang w:val="sr-Latn-RS"/>
        </w:rPr>
        <w:t>(</w:t>
      </w:r>
      <w:r w:rsidR="00081D71">
        <w:rPr>
          <w:rFonts w:cstheme="majorHAnsi"/>
          <w:color w:val="0E2841" w:themeColor="text2"/>
          <w:lang w:val="sr-Latn-RS"/>
        </w:rPr>
        <w:t>14.6</w:t>
      </w:r>
      <w:r w:rsidRPr="00A94638">
        <w:rPr>
          <w:rFonts w:cstheme="majorHAnsi"/>
          <w:color w:val="0E2841" w:themeColor="text2"/>
          <w:lang w:val="sr-Latn-RS"/>
        </w:rPr>
        <w:t>%).</w:t>
      </w:r>
    </w:p>
    <w:p w14:paraId="25CDDFE4" w14:textId="768C3A4C" w:rsidR="0006116B" w:rsidRPr="00A94638" w:rsidRDefault="0006116B" w:rsidP="00FF3BB3">
      <w:pPr>
        <w:spacing w:before="60" w:line="264" w:lineRule="auto"/>
        <w:jc w:val="both"/>
        <w:rPr>
          <w:rFonts w:cstheme="majorHAnsi"/>
          <w:color w:val="0E2841" w:themeColor="text2"/>
          <w:lang w:val="sr-Latn-RS"/>
        </w:rPr>
      </w:pPr>
      <w:r w:rsidRPr="00A94638">
        <w:rPr>
          <w:rFonts w:cstheme="majorHAnsi"/>
          <w:color w:val="0E2841" w:themeColor="text2"/>
          <w:lang w:val="sr-Latn-RS"/>
        </w:rPr>
        <w:t>U pod</w:t>
      </w:r>
      <w:r w:rsidR="00133224" w:rsidRPr="00A94638">
        <w:rPr>
          <w:rFonts w:cstheme="majorHAnsi"/>
          <w:color w:val="0E2841" w:themeColor="text2"/>
          <w:lang w:val="sr-Latn-RS"/>
        </w:rPr>
        <w:t>-</w:t>
      </w:r>
      <w:r w:rsidRPr="00A94638">
        <w:rPr>
          <w:rFonts w:cstheme="majorHAnsi"/>
          <w:color w:val="0E2841" w:themeColor="text2"/>
          <w:lang w:val="sr-Latn-RS"/>
        </w:rPr>
        <w:t>oblasti „Upravljanje ugovor</w:t>
      </w:r>
      <w:r w:rsidR="00A94638" w:rsidRPr="00A94638">
        <w:rPr>
          <w:rFonts w:cstheme="majorHAnsi"/>
          <w:color w:val="0E2841" w:themeColor="text2"/>
          <w:lang w:val="sr-Latn-RS"/>
        </w:rPr>
        <w:t>ima</w:t>
      </w:r>
      <w:r w:rsidRPr="00A94638">
        <w:rPr>
          <w:rFonts w:cstheme="majorHAnsi"/>
          <w:color w:val="0E2841" w:themeColor="text2"/>
          <w:lang w:val="sr-Latn-RS"/>
        </w:rPr>
        <w:t xml:space="preserve">“ ukupan prosečni učinak za 2 </w:t>
      </w:r>
      <w:r w:rsidR="00A94638" w:rsidRPr="00A94638">
        <w:rPr>
          <w:rFonts w:cstheme="majorHAnsi"/>
          <w:color w:val="0E2841" w:themeColor="text2"/>
          <w:lang w:val="sr-Latn-RS"/>
        </w:rPr>
        <w:t xml:space="preserve">procenjena pokazatelja </w:t>
      </w:r>
      <w:r w:rsidRPr="00A94638">
        <w:rPr>
          <w:rFonts w:cstheme="majorHAnsi"/>
          <w:color w:val="0E2841" w:themeColor="text2"/>
          <w:lang w:val="sr-Latn-RS"/>
        </w:rPr>
        <w:t xml:space="preserve">je </w:t>
      </w:r>
      <w:r w:rsidR="00081D71">
        <w:rPr>
          <w:rFonts w:cstheme="majorHAnsi"/>
          <w:color w:val="0E2841" w:themeColor="text2"/>
          <w:lang w:val="sr-Latn-RS"/>
        </w:rPr>
        <w:t>4.2</w:t>
      </w:r>
      <w:r w:rsidRPr="00A94638">
        <w:rPr>
          <w:rFonts w:cstheme="majorHAnsi"/>
          <w:color w:val="0E2841" w:themeColor="text2"/>
          <w:lang w:val="sr-Latn-RS"/>
        </w:rPr>
        <w:t xml:space="preserve"> </w:t>
      </w:r>
      <w:r w:rsidR="00A94638" w:rsidRPr="00A94638">
        <w:rPr>
          <w:rFonts w:cstheme="majorHAnsi"/>
          <w:color w:val="0E2841" w:themeColor="text2"/>
          <w:lang w:val="sr-Latn-RS"/>
        </w:rPr>
        <w:t xml:space="preserve">bodova </w:t>
      </w:r>
      <w:r w:rsidRPr="00A94638">
        <w:rPr>
          <w:rFonts w:cstheme="majorHAnsi"/>
          <w:color w:val="0E2841" w:themeColor="text2"/>
          <w:lang w:val="sr-Latn-RS"/>
        </w:rPr>
        <w:t xml:space="preserve">od 7 mogućih </w:t>
      </w:r>
      <w:r w:rsidR="00A94638" w:rsidRPr="00A94638">
        <w:rPr>
          <w:rFonts w:cstheme="majorHAnsi"/>
          <w:color w:val="0E2841" w:themeColor="text2"/>
          <w:lang w:val="sr-Latn-RS"/>
        </w:rPr>
        <w:t xml:space="preserve">bodova </w:t>
      </w:r>
      <w:r w:rsidRPr="00A94638">
        <w:rPr>
          <w:rFonts w:cstheme="majorHAnsi"/>
          <w:color w:val="0E2841" w:themeColor="text2"/>
          <w:lang w:val="sr-Latn-RS"/>
        </w:rPr>
        <w:t>(</w:t>
      </w:r>
      <w:r w:rsidR="00081D71">
        <w:rPr>
          <w:rFonts w:cstheme="majorHAnsi"/>
          <w:color w:val="0E2841" w:themeColor="text2"/>
          <w:lang w:val="sr-Latn-RS"/>
        </w:rPr>
        <w:t>59.4</w:t>
      </w:r>
      <w:r w:rsidRPr="00A94638">
        <w:rPr>
          <w:rFonts w:cstheme="majorHAnsi"/>
          <w:color w:val="0E2841" w:themeColor="text2"/>
          <w:lang w:val="sr-Latn-RS"/>
        </w:rPr>
        <w:t xml:space="preserve"> %).</w:t>
      </w:r>
    </w:p>
    <w:p w14:paraId="6612EEB7" w14:textId="5E9A56BE" w:rsidR="0006116B" w:rsidRDefault="0006116B" w:rsidP="00FF3BB3">
      <w:pPr>
        <w:spacing w:before="60" w:line="264" w:lineRule="auto"/>
        <w:jc w:val="both"/>
        <w:rPr>
          <w:rFonts w:cstheme="majorHAnsi"/>
          <w:color w:val="0E2841" w:themeColor="text2"/>
          <w:lang w:val="sr-Latn-RS"/>
        </w:rPr>
      </w:pPr>
      <w:r w:rsidRPr="00A94638">
        <w:rPr>
          <w:rFonts w:cstheme="majorHAnsi"/>
          <w:color w:val="0E2841" w:themeColor="text2"/>
          <w:lang w:val="sr-Latn-RS"/>
        </w:rPr>
        <w:t>U pod</w:t>
      </w:r>
      <w:r w:rsidR="00133224" w:rsidRPr="00A94638">
        <w:rPr>
          <w:rFonts w:cstheme="majorHAnsi"/>
          <w:color w:val="0E2841" w:themeColor="text2"/>
          <w:lang w:val="sr-Latn-RS"/>
        </w:rPr>
        <w:t>-</w:t>
      </w:r>
      <w:r w:rsidRPr="00A94638">
        <w:rPr>
          <w:rFonts w:cstheme="majorHAnsi"/>
          <w:color w:val="0E2841" w:themeColor="text2"/>
          <w:lang w:val="sr-Latn-RS"/>
        </w:rPr>
        <w:t xml:space="preserve">oblasti „Upravljanje ljudskim resursima“ ukupan prosečni učinak za 2 </w:t>
      </w:r>
      <w:r w:rsidR="00A94638" w:rsidRPr="00A94638">
        <w:rPr>
          <w:rFonts w:cstheme="majorHAnsi"/>
          <w:color w:val="0E2841" w:themeColor="text2"/>
          <w:lang w:val="sr-Latn-RS"/>
        </w:rPr>
        <w:t xml:space="preserve">procenjena pokazatelja </w:t>
      </w:r>
      <w:r w:rsidRPr="00A94638">
        <w:rPr>
          <w:rFonts w:cstheme="majorHAnsi"/>
          <w:color w:val="0E2841" w:themeColor="text2"/>
          <w:lang w:val="sr-Latn-RS"/>
        </w:rPr>
        <w:t xml:space="preserve">je </w:t>
      </w:r>
      <w:r w:rsidR="00E84279">
        <w:rPr>
          <w:rFonts w:cstheme="majorHAnsi"/>
          <w:color w:val="0E2841" w:themeColor="text2"/>
        </w:rPr>
        <w:t xml:space="preserve">36.3 </w:t>
      </w:r>
      <w:r w:rsidR="00A94638" w:rsidRPr="00A94638">
        <w:rPr>
          <w:rFonts w:cstheme="majorHAnsi"/>
          <w:color w:val="0E2841" w:themeColor="text2"/>
          <w:lang w:val="sr-Latn-RS"/>
        </w:rPr>
        <w:t xml:space="preserve">bodova </w:t>
      </w:r>
      <w:r w:rsidRPr="00A94638">
        <w:rPr>
          <w:rFonts w:cstheme="majorHAnsi"/>
          <w:color w:val="0E2841" w:themeColor="text2"/>
          <w:lang w:val="sr-Latn-RS"/>
        </w:rPr>
        <w:t xml:space="preserve">od </w:t>
      </w:r>
      <w:r w:rsidR="00E84279">
        <w:rPr>
          <w:rFonts w:cstheme="majorHAnsi"/>
          <w:color w:val="0E2841" w:themeColor="text2"/>
          <w:lang w:val="sr-Latn-RS"/>
        </w:rPr>
        <w:t>10</w:t>
      </w:r>
      <w:r w:rsidRPr="00A94638">
        <w:rPr>
          <w:rFonts w:cstheme="majorHAnsi"/>
          <w:color w:val="0E2841" w:themeColor="text2"/>
          <w:lang w:val="sr-Latn-RS"/>
        </w:rPr>
        <w:t xml:space="preserve"> mogućih </w:t>
      </w:r>
      <w:r w:rsidR="00A94638" w:rsidRPr="00A94638">
        <w:rPr>
          <w:rFonts w:cstheme="majorHAnsi"/>
          <w:color w:val="0E2841" w:themeColor="text2"/>
          <w:lang w:val="sr-Latn-RS"/>
        </w:rPr>
        <w:t xml:space="preserve">bodova </w:t>
      </w:r>
      <w:r w:rsidRPr="00A94638">
        <w:rPr>
          <w:rFonts w:cstheme="majorHAnsi"/>
          <w:color w:val="0E2841" w:themeColor="text2"/>
          <w:lang w:val="sr-Latn-RS"/>
        </w:rPr>
        <w:t>(</w:t>
      </w:r>
      <w:r w:rsidR="00E84279">
        <w:rPr>
          <w:rFonts w:cstheme="majorHAnsi"/>
          <w:color w:val="0E2841" w:themeColor="text2"/>
          <w:lang w:val="sr-Latn-RS"/>
        </w:rPr>
        <w:t>36.3</w:t>
      </w:r>
      <w:r w:rsidRPr="00A94638">
        <w:rPr>
          <w:rFonts w:cstheme="majorHAnsi"/>
          <w:color w:val="0E2841" w:themeColor="text2"/>
          <w:lang w:val="sr-Latn-RS"/>
        </w:rPr>
        <w:t>%).</w:t>
      </w:r>
      <w:bookmarkEnd w:id="28"/>
    </w:p>
    <w:p w14:paraId="61FEA7DD" w14:textId="57FDE62A" w:rsidR="00E84279" w:rsidRDefault="00E84279" w:rsidP="00FF3BB3">
      <w:pPr>
        <w:spacing w:before="60" w:line="264" w:lineRule="auto"/>
        <w:jc w:val="both"/>
        <w:rPr>
          <w:rFonts w:cstheme="majorHAnsi"/>
          <w:color w:val="0E2841" w:themeColor="text2"/>
          <w:lang w:val="sr-Latn-RS"/>
        </w:rPr>
      </w:pPr>
    </w:p>
    <w:p w14:paraId="4273CFDF" w14:textId="77777777" w:rsidR="00E84279" w:rsidRPr="00A94638" w:rsidRDefault="00E84279" w:rsidP="00FF3BB3">
      <w:pPr>
        <w:spacing w:before="60" w:line="264" w:lineRule="auto"/>
        <w:jc w:val="both"/>
        <w:rPr>
          <w:rFonts w:cstheme="majorHAnsi"/>
          <w:color w:val="0E2841" w:themeColor="text2"/>
          <w:lang w:val="sr-Latn-RS"/>
        </w:rPr>
      </w:pPr>
    </w:p>
    <w:p w14:paraId="256C138C" w14:textId="03319E11" w:rsidR="0006116B" w:rsidRPr="00FF3BB3" w:rsidRDefault="0006116B" w:rsidP="00FF3BB3">
      <w:pPr>
        <w:keepNext/>
        <w:tabs>
          <w:tab w:val="left" w:pos="810"/>
        </w:tabs>
        <w:spacing w:before="240" w:after="0" w:line="240" w:lineRule="auto"/>
        <w:outlineLvl w:val="0"/>
        <w:rPr>
          <w:rFonts w:eastAsiaTheme="majorEastAsia" w:cstheme="majorHAnsi"/>
          <w:b/>
          <w:color w:val="0E2841" w:themeColor="text2"/>
          <w:sz w:val="24"/>
          <w:szCs w:val="24"/>
          <w:lang w:val="sr-Latn-RS"/>
        </w:rPr>
      </w:pPr>
      <w:bookmarkStart w:id="29" w:name="_Toc224550097"/>
      <w:r w:rsidRPr="00FF3BB3">
        <w:rPr>
          <w:rFonts w:eastAsiaTheme="majorEastAsia" w:cstheme="majorHAnsi"/>
          <w:b/>
          <w:color w:val="0E2841" w:themeColor="text2"/>
          <w:sz w:val="24"/>
          <w:szCs w:val="24"/>
          <w:lang w:val="sr-Latn-RS"/>
        </w:rPr>
        <w:lastRenderedPageBreak/>
        <w:t xml:space="preserve">2.2.2.3 Učinak </w:t>
      </w:r>
      <w:r w:rsidR="00CA2E28">
        <w:rPr>
          <w:rFonts w:eastAsiaTheme="majorEastAsia" w:cstheme="majorHAnsi"/>
          <w:b/>
          <w:color w:val="0E2841" w:themeColor="text2"/>
          <w:sz w:val="24"/>
          <w:szCs w:val="24"/>
          <w:lang w:val="sr-Latn-RS"/>
        </w:rPr>
        <w:t>GOU</w:t>
      </w:r>
      <w:r w:rsidR="00A94638">
        <w:rPr>
          <w:rFonts w:eastAsiaTheme="majorEastAsia" w:cstheme="majorHAnsi"/>
          <w:b/>
          <w:color w:val="0E2841" w:themeColor="text2"/>
          <w:sz w:val="24"/>
          <w:szCs w:val="24"/>
          <w:lang w:val="sr-Latn-RS"/>
        </w:rPr>
        <w:t>-a</w:t>
      </w:r>
      <w:r w:rsidRPr="00FF3BB3">
        <w:rPr>
          <w:rFonts w:eastAsiaTheme="majorEastAsia" w:cstheme="majorHAnsi"/>
          <w:b/>
          <w:color w:val="0E2841" w:themeColor="text2"/>
          <w:sz w:val="24"/>
          <w:szCs w:val="24"/>
          <w:lang w:val="sr-Latn-RS"/>
        </w:rPr>
        <w:t xml:space="preserve"> u oblasti „Pružanje usluga“</w:t>
      </w:r>
      <w:bookmarkEnd w:id="29"/>
    </w:p>
    <w:p w14:paraId="3E36A66B"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p>
    <w:p w14:paraId="519B386D" w14:textId="02AE0664" w:rsidR="0006116B" w:rsidRPr="00FF3BB3" w:rsidRDefault="00A94638" w:rsidP="00FF3BB3">
      <w:pPr>
        <w:spacing w:before="60" w:line="264" w:lineRule="auto"/>
        <w:jc w:val="both"/>
        <w:rPr>
          <w:rFonts w:cstheme="majorHAnsi"/>
          <w:color w:val="0E2841" w:themeColor="text2"/>
          <w:lang w:val="sr-Latn-RS"/>
        </w:rPr>
      </w:pPr>
      <w:r>
        <w:rPr>
          <w:rFonts w:cstheme="majorHAnsi"/>
          <w:color w:val="0E2841" w:themeColor="text2"/>
          <w:lang w:val="sr-Latn-RS"/>
        </w:rPr>
        <w:t xml:space="preserve">Prosečan </w:t>
      </w:r>
      <w:r w:rsidR="0006116B" w:rsidRPr="00FF3BB3">
        <w:rPr>
          <w:rFonts w:cstheme="majorHAnsi"/>
          <w:color w:val="0E2841" w:themeColor="text2"/>
          <w:lang w:val="sr-Latn-RS"/>
        </w:rPr>
        <w:t xml:space="preserve">učinak 38 opština u 8 </w:t>
      </w:r>
      <w:r w:rsidRPr="00A94638">
        <w:rPr>
          <w:rFonts w:cstheme="majorHAnsi"/>
          <w:color w:val="0E2841" w:themeColor="text2"/>
          <w:lang w:val="sr-Latn-RS"/>
        </w:rPr>
        <w:t xml:space="preserve">procenjena pokazatelja </w:t>
      </w:r>
      <w:r w:rsidR="0006116B" w:rsidRPr="00FF3BB3">
        <w:rPr>
          <w:rFonts w:cstheme="majorHAnsi"/>
          <w:color w:val="0E2841" w:themeColor="text2"/>
          <w:lang w:val="sr-Latn-RS"/>
        </w:rPr>
        <w:t xml:space="preserve">u okviru oblasti „Pružanje usluga“ je </w:t>
      </w:r>
      <w:r w:rsidR="00E84279">
        <w:rPr>
          <w:rFonts w:cstheme="majorHAnsi"/>
          <w:color w:val="0E2841" w:themeColor="text2"/>
        </w:rPr>
        <w:t>10.9</w:t>
      </w:r>
      <w:r w:rsidR="00E84279" w:rsidRPr="00571610">
        <w:rPr>
          <w:rFonts w:cstheme="majorHAnsi"/>
          <w:color w:val="0E2841" w:themeColor="text2"/>
        </w:rPr>
        <w:t xml:space="preserve"> </w:t>
      </w:r>
      <w:r w:rsidR="005A35F3" w:rsidRPr="00A94638">
        <w:rPr>
          <w:rFonts w:cstheme="majorHAnsi"/>
          <w:color w:val="0E2841" w:themeColor="text2"/>
          <w:lang w:val="sr-Latn-RS"/>
        </w:rPr>
        <w:t xml:space="preserve">bodova </w:t>
      </w:r>
      <w:r w:rsidR="0006116B" w:rsidRPr="00FF3BB3">
        <w:rPr>
          <w:rFonts w:cstheme="majorHAnsi"/>
          <w:color w:val="0E2841" w:themeColor="text2"/>
          <w:lang w:val="sr-Latn-RS"/>
        </w:rPr>
        <w:t xml:space="preserve">od ukupno </w:t>
      </w:r>
      <w:r w:rsidR="00E84279">
        <w:rPr>
          <w:rFonts w:cstheme="majorHAnsi"/>
          <w:color w:val="0E2841" w:themeColor="text2"/>
          <w:lang w:val="sr-Latn-RS"/>
        </w:rPr>
        <w:t>30</w:t>
      </w:r>
      <w:r w:rsidR="0006116B" w:rsidRPr="00FF3BB3">
        <w:rPr>
          <w:rFonts w:cstheme="majorHAnsi"/>
          <w:color w:val="0E2841" w:themeColor="text2"/>
          <w:lang w:val="sr-Latn-RS"/>
        </w:rPr>
        <w:t xml:space="preserve"> mogućih </w:t>
      </w:r>
      <w:r w:rsidRPr="00A94638">
        <w:rPr>
          <w:rFonts w:cstheme="majorHAnsi"/>
          <w:color w:val="0E2841" w:themeColor="text2"/>
          <w:lang w:val="sr-Latn-RS"/>
        </w:rPr>
        <w:t xml:space="preserve">bodova </w:t>
      </w:r>
      <w:r w:rsidR="0006116B" w:rsidRPr="00FF3BB3">
        <w:rPr>
          <w:rFonts w:cstheme="majorHAnsi"/>
          <w:color w:val="0E2841" w:themeColor="text2"/>
          <w:lang w:val="sr-Latn-RS"/>
        </w:rPr>
        <w:t>u ovoj oblasti (</w:t>
      </w:r>
      <w:r w:rsidR="00E84279">
        <w:rPr>
          <w:rFonts w:cstheme="majorHAnsi"/>
          <w:color w:val="0E2841" w:themeColor="text2"/>
        </w:rPr>
        <w:t>36.3</w:t>
      </w:r>
      <w:r w:rsidR="0006116B" w:rsidRPr="00FF3BB3">
        <w:rPr>
          <w:rFonts w:cstheme="majorHAnsi"/>
          <w:color w:val="0E2841" w:themeColor="text2"/>
          <w:lang w:val="sr-Latn-RS"/>
        </w:rPr>
        <w:t xml:space="preserve">%). Opštine sa najvećim učinkom u ovoj oblasti su: </w:t>
      </w:r>
      <w:r w:rsidRPr="00FF3BB3">
        <w:rPr>
          <w:rFonts w:cstheme="majorHAnsi"/>
          <w:color w:val="0E2841" w:themeColor="text2"/>
          <w:lang w:val="sr-Latn-RS"/>
        </w:rPr>
        <w:t xml:space="preserve">Opštine </w:t>
      </w:r>
      <w:r w:rsidR="0006116B" w:rsidRPr="00FF3BB3">
        <w:rPr>
          <w:rFonts w:cstheme="majorHAnsi"/>
          <w:color w:val="0E2841" w:themeColor="text2"/>
          <w:lang w:val="sr-Latn-RS"/>
        </w:rPr>
        <w:t>Lipljan 2</w:t>
      </w:r>
      <w:r w:rsidR="00E84279">
        <w:rPr>
          <w:rFonts w:cstheme="majorHAnsi"/>
          <w:color w:val="0E2841" w:themeColor="text2"/>
          <w:lang w:val="sr-Latn-RS"/>
        </w:rPr>
        <w:t>4</w:t>
      </w:r>
      <w:r w:rsidR="0006116B" w:rsidRPr="00FF3BB3">
        <w:rPr>
          <w:rFonts w:cstheme="majorHAnsi"/>
          <w:color w:val="0E2841" w:themeColor="text2"/>
          <w:lang w:val="sr-Latn-RS"/>
        </w:rPr>
        <w:t xml:space="preserve"> </w:t>
      </w:r>
      <w:r w:rsidRPr="00A94638">
        <w:rPr>
          <w:rFonts w:cstheme="majorHAnsi"/>
          <w:color w:val="0E2841" w:themeColor="text2"/>
          <w:lang w:val="sr-Latn-RS"/>
        </w:rPr>
        <w:t xml:space="preserve">bodova </w:t>
      </w:r>
      <w:r w:rsidR="0006116B" w:rsidRPr="00FF3BB3">
        <w:rPr>
          <w:rFonts w:cstheme="majorHAnsi"/>
          <w:color w:val="0E2841" w:themeColor="text2"/>
          <w:lang w:val="sr-Latn-RS"/>
        </w:rPr>
        <w:t>(</w:t>
      </w:r>
      <w:r w:rsidR="00E84279">
        <w:rPr>
          <w:rFonts w:cstheme="majorHAnsi"/>
          <w:color w:val="0E2841" w:themeColor="text2"/>
        </w:rPr>
        <w:t>80.0</w:t>
      </w:r>
      <w:r w:rsidR="0006116B" w:rsidRPr="00FF3BB3">
        <w:rPr>
          <w:rFonts w:cstheme="majorHAnsi"/>
          <w:color w:val="0E2841" w:themeColor="text2"/>
          <w:lang w:val="sr-Latn-RS"/>
        </w:rPr>
        <w:t xml:space="preserve">%) i opštine </w:t>
      </w:r>
      <w:r w:rsidR="00E84279">
        <w:rPr>
          <w:rFonts w:cstheme="majorHAnsi"/>
          <w:color w:val="0E2841" w:themeColor="text2"/>
          <w:lang w:val="sr-Latn-RS"/>
        </w:rPr>
        <w:t xml:space="preserve">Kosovo Polje sa </w:t>
      </w:r>
      <w:r w:rsidR="0006116B" w:rsidRPr="00FF3BB3">
        <w:rPr>
          <w:rFonts w:cstheme="majorHAnsi"/>
          <w:color w:val="0E2841" w:themeColor="text2"/>
          <w:lang w:val="sr-Latn-RS"/>
        </w:rPr>
        <w:t>2</w:t>
      </w:r>
      <w:r w:rsidR="00E84279">
        <w:rPr>
          <w:rFonts w:cstheme="majorHAnsi"/>
          <w:color w:val="0E2841" w:themeColor="text2"/>
          <w:lang w:val="sr-Latn-RS"/>
        </w:rPr>
        <w:t>3</w:t>
      </w:r>
      <w:r w:rsidR="0006116B" w:rsidRPr="00FF3BB3">
        <w:rPr>
          <w:rFonts w:cstheme="majorHAnsi"/>
          <w:color w:val="0E2841" w:themeColor="text2"/>
          <w:lang w:val="sr-Latn-RS"/>
        </w:rPr>
        <w:t xml:space="preserve"> </w:t>
      </w:r>
      <w:r w:rsidRPr="00A94638">
        <w:rPr>
          <w:rFonts w:cstheme="majorHAnsi"/>
          <w:color w:val="0E2841" w:themeColor="text2"/>
          <w:lang w:val="sr-Latn-RS"/>
        </w:rPr>
        <w:t xml:space="preserve">bodova </w:t>
      </w:r>
      <w:r w:rsidR="0006116B" w:rsidRPr="00FF3BB3">
        <w:rPr>
          <w:rFonts w:cstheme="majorHAnsi"/>
          <w:color w:val="0E2841" w:themeColor="text2"/>
          <w:lang w:val="sr-Latn-RS"/>
        </w:rPr>
        <w:t xml:space="preserve">ili </w:t>
      </w:r>
      <w:r w:rsidR="00E84279">
        <w:rPr>
          <w:rFonts w:cstheme="majorHAnsi"/>
          <w:color w:val="0E2841" w:themeColor="text2"/>
        </w:rPr>
        <w:t>76.7</w:t>
      </w:r>
      <w:r w:rsidR="0006116B" w:rsidRPr="00FF3BB3">
        <w:rPr>
          <w:rFonts w:cstheme="majorHAnsi"/>
          <w:color w:val="0E2841" w:themeColor="text2"/>
          <w:lang w:val="sr-Latn-RS"/>
        </w:rPr>
        <w:t>%.</w:t>
      </w:r>
      <w:r w:rsidR="005A35F3">
        <w:rPr>
          <w:rFonts w:cstheme="majorHAnsi"/>
          <w:color w:val="0E2841" w:themeColor="text2"/>
          <w:lang w:val="sr-Latn-RS"/>
        </w:rPr>
        <w:t xml:space="preserve"> </w:t>
      </w:r>
    </w:p>
    <w:p w14:paraId="542E1786" w14:textId="36E74D0D" w:rsidR="005A3262" w:rsidRPr="00E84279" w:rsidRDefault="0006116B" w:rsidP="00E84279">
      <w:pPr>
        <w:spacing w:before="60" w:line="264" w:lineRule="auto"/>
        <w:jc w:val="both"/>
        <w:rPr>
          <w:rFonts w:cstheme="majorHAnsi"/>
          <w:color w:val="0E2841" w:themeColor="text2"/>
          <w:lang w:val="sr-Latn-RS"/>
        </w:rPr>
      </w:pPr>
      <w:r w:rsidRPr="00FF3BB3">
        <w:rPr>
          <w:rFonts w:cstheme="majorHAnsi"/>
          <w:color w:val="0E2841" w:themeColor="text2"/>
          <w:lang w:val="sr-Latn-RS"/>
        </w:rPr>
        <w:t xml:space="preserve">Dok, sa 0 </w:t>
      </w:r>
      <w:r w:rsidR="00A94638" w:rsidRPr="00A94638">
        <w:rPr>
          <w:rFonts w:cstheme="majorHAnsi"/>
          <w:color w:val="0E2841" w:themeColor="text2"/>
          <w:lang w:val="sr-Latn-RS"/>
        </w:rPr>
        <w:t xml:space="preserve">bodova </w:t>
      </w:r>
      <w:r w:rsidRPr="00FF3BB3">
        <w:rPr>
          <w:rFonts w:cstheme="majorHAnsi"/>
          <w:color w:val="0E2841" w:themeColor="text2"/>
          <w:lang w:val="sr-Latn-RS"/>
        </w:rPr>
        <w:t xml:space="preserve">u ovoj oblasti, najniži učinak je imala </w:t>
      </w:r>
      <w:r w:rsidR="005A35F3" w:rsidRPr="00FF3BB3">
        <w:rPr>
          <w:rFonts w:cstheme="majorHAnsi"/>
          <w:color w:val="0E2841" w:themeColor="text2"/>
          <w:lang w:val="sr-Latn-RS"/>
        </w:rPr>
        <w:t xml:space="preserve">Opština </w:t>
      </w:r>
      <w:r w:rsidRPr="00FF3BB3">
        <w:rPr>
          <w:rFonts w:cstheme="majorHAnsi"/>
          <w:color w:val="0E2841" w:themeColor="text2"/>
          <w:lang w:val="sr-Latn-RS"/>
        </w:rPr>
        <w:t xml:space="preserve">Severna Mitrovica kao i opštine </w:t>
      </w:r>
      <w:r w:rsidR="00E84279">
        <w:rPr>
          <w:rFonts w:cstheme="majorHAnsi"/>
          <w:color w:val="0E2841" w:themeColor="text2"/>
          <w:lang w:val="sr-Latn-RS"/>
        </w:rPr>
        <w:t>Ranilug</w:t>
      </w:r>
      <w:r w:rsidRPr="00FF3BB3">
        <w:rPr>
          <w:rFonts w:cstheme="majorHAnsi"/>
          <w:color w:val="0E2841" w:themeColor="text2"/>
          <w:lang w:val="sr-Latn-RS"/>
        </w:rPr>
        <w:t xml:space="preserve">, </w:t>
      </w:r>
      <w:r w:rsidR="00E84279">
        <w:rPr>
          <w:rFonts w:cstheme="majorHAnsi"/>
          <w:color w:val="0E2841" w:themeColor="text2"/>
          <w:lang w:val="sr-Latn-RS"/>
        </w:rPr>
        <w:t>Novo Brdo</w:t>
      </w:r>
      <w:r w:rsidRPr="00FF3BB3">
        <w:rPr>
          <w:rFonts w:cstheme="majorHAnsi"/>
          <w:color w:val="0E2841" w:themeColor="text2"/>
          <w:lang w:val="sr-Latn-RS"/>
        </w:rPr>
        <w:t xml:space="preserve"> i Parteš (opštin</w:t>
      </w:r>
      <w:r w:rsidR="00E84279">
        <w:rPr>
          <w:rFonts w:cstheme="majorHAnsi"/>
          <w:color w:val="0E2841" w:themeColor="text2"/>
          <w:lang w:val="sr-Latn-RS"/>
        </w:rPr>
        <w:t>a</w:t>
      </w:r>
      <w:r w:rsidR="005A35F3">
        <w:rPr>
          <w:rFonts w:cstheme="majorHAnsi"/>
          <w:color w:val="0E2841" w:themeColor="text2"/>
          <w:lang w:val="sr-Latn-RS"/>
        </w:rPr>
        <w:t xml:space="preserve"> korisnic</w:t>
      </w:r>
      <w:r w:rsidR="00E84279">
        <w:rPr>
          <w:rFonts w:cstheme="majorHAnsi"/>
          <w:color w:val="0E2841" w:themeColor="text2"/>
          <w:lang w:val="sr-Latn-RS"/>
        </w:rPr>
        <w:t>a GOU</w:t>
      </w:r>
      <w:r w:rsidRPr="00FF3BB3">
        <w:rPr>
          <w:rFonts w:cstheme="majorHAnsi"/>
          <w:color w:val="0E2841" w:themeColor="text2"/>
          <w:lang w:val="sr-Latn-RS"/>
        </w:rPr>
        <w:t>).</w:t>
      </w:r>
    </w:p>
    <w:p w14:paraId="54A6A0DC" w14:textId="6A2BE05A" w:rsidR="0006116B" w:rsidRPr="00FF3BB3" w:rsidRDefault="00E84279" w:rsidP="00FF3BB3">
      <w:pPr>
        <w:spacing w:before="60" w:after="0" w:line="264" w:lineRule="auto"/>
        <w:contextualSpacing/>
        <w:jc w:val="both"/>
        <w:rPr>
          <w:color w:val="0A2F41" w:themeColor="accent1" w:themeShade="80"/>
          <w:kern w:val="2"/>
          <w:lang w:val="sr-Latn-RS"/>
          <w14:ligatures w14:val="standardContextual"/>
        </w:rPr>
      </w:pPr>
      <w:r>
        <w:rPr>
          <w:noProof/>
          <w:lang w:val="en-GB" w:eastAsia="en-GB"/>
          <w14:ligatures w14:val="standardContextual"/>
        </w:rPr>
        <w:drawing>
          <wp:anchor distT="0" distB="0" distL="114300" distR="114300" simplePos="0" relativeHeight="251810816" behindDoc="0" locked="0" layoutInCell="1" allowOverlap="1" wp14:anchorId="66A70757" wp14:editId="2FE6787B">
            <wp:simplePos x="0" y="0"/>
            <wp:positionH relativeFrom="column">
              <wp:posOffset>0</wp:posOffset>
            </wp:positionH>
            <wp:positionV relativeFrom="paragraph">
              <wp:posOffset>8255</wp:posOffset>
            </wp:positionV>
            <wp:extent cx="3795395" cy="2743200"/>
            <wp:effectExtent l="0" t="0" r="14605" b="0"/>
            <wp:wrapSquare wrapText="bothSides"/>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FEBE11C-899C-470E-B47D-58B9BA59D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06116B" w:rsidRPr="00FF3BB3">
        <w:rPr>
          <w:color w:val="153D63" w:themeColor="text2" w:themeTint="E6"/>
          <w:kern w:val="2"/>
          <w:lang w:val="sr-Latn-RS"/>
          <w14:ligatures w14:val="standardContextual"/>
        </w:rPr>
        <w:t xml:space="preserve">U </w:t>
      </w:r>
      <w:r w:rsidR="0006116B" w:rsidRPr="00FF3BB3">
        <w:rPr>
          <w:color w:val="0A2F41" w:themeColor="accent1" w:themeShade="80"/>
          <w:kern w:val="2"/>
          <w:lang w:val="sr-Latn-RS"/>
          <w14:ligatures w14:val="standardContextual"/>
        </w:rPr>
        <w:t>pod</w:t>
      </w:r>
      <w:r w:rsidR="005A35F3">
        <w:rPr>
          <w:color w:val="0A2F41" w:themeColor="accent1" w:themeShade="80"/>
          <w:kern w:val="2"/>
          <w:lang w:val="sr-Latn-RS"/>
          <w14:ligatures w14:val="standardContextual"/>
        </w:rPr>
        <w:t>-</w:t>
      </w:r>
      <w:r w:rsidR="0006116B" w:rsidRPr="00FF3BB3">
        <w:rPr>
          <w:color w:val="0A2F41" w:themeColor="accent1" w:themeShade="80"/>
          <w:kern w:val="2"/>
          <w:lang w:val="sr-Latn-RS"/>
          <w14:ligatures w14:val="standardContextual"/>
        </w:rPr>
        <w:t xml:space="preserve">oblasti „ Administrativne usluge“, ukupan prosečni učinak za </w:t>
      </w:r>
      <w:r w:rsidR="00AB75A0">
        <w:rPr>
          <w:color w:val="0A2F41" w:themeColor="accent1" w:themeShade="80"/>
          <w:kern w:val="2"/>
          <w:lang w:val="sr-Latn-RS"/>
          <w14:ligatures w14:val="standardContextual"/>
        </w:rPr>
        <w:t xml:space="preserve">2 </w:t>
      </w:r>
      <w:r w:rsidR="005A35F3">
        <w:rPr>
          <w:color w:val="0A2F41" w:themeColor="accent1" w:themeShade="80"/>
          <w:kern w:val="2"/>
          <w:lang w:val="sr-Latn-RS"/>
          <w14:ligatures w14:val="standardContextual"/>
        </w:rPr>
        <w:t>pr</w:t>
      </w:r>
      <w:r w:rsidR="0006116B" w:rsidRPr="00FF3BB3">
        <w:rPr>
          <w:color w:val="0A2F41" w:themeColor="accent1" w:themeShade="80"/>
          <w:kern w:val="2"/>
          <w:lang w:val="sr-Latn-RS"/>
          <w14:ligatures w14:val="standardContextual"/>
        </w:rPr>
        <w:t>ocenjen</w:t>
      </w:r>
      <w:r w:rsidR="00AB75A0">
        <w:rPr>
          <w:color w:val="0A2F41" w:themeColor="accent1" w:themeShade="80"/>
          <w:kern w:val="2"/>
          <w:lang w:val="sr-Latn-RS"/>
          <w14:ligatures w14:val="standardContextual"/>
        </w:rPr>
        <w:t>a</w:t>
      </w:r>
      <w:r w:rsidR="0006116B" w:rsidRPr="00FF3BB3">
        <w:rPr>
          <w:color w:val="0A2F41" w:themeColor="accent1" w:themeShade="80"/>
          <w:kern w:val="2"/>
          <w:lang w:val="sr-Latn-RS"/>
          <w14:ligatures w14:val="standardContextual"/>
        </w:rPr>
        <w:t xml:space="preserve"> </w:t>
      </w:r>
      <w:r w:rsidR="005A35F3">
        <w:rPr>
          <w:color w:val="0A2F41" w:themeColor="accent1" w:themeShade="80"/>
          <w:kern w:val="2"/>
          <w:lang w:val="sr-Latn-RS"/>
          <w14:ligatures w14:val="standardContextual"/>
        </w:rPr>
        <w:t>pokazatelj</w:t>
      </w:r>
      <w:r w:rsidR="00AB75A0">
        <w:rPr>
          <w:color w:val="0A2F41" w:themeColor="accent1" w:themeShade="80"/>
          <w:kern w:val="2"/>
          <w:lang w:val="sr-Latn-RS"/>
          <w14:ligatures w14:val="standardContextual"/>
        </w:rPr>
        <w:t>a</w:t>
      </w:r>
      <w:r w:rsidR="0006116B" w:rsidRPr="00FF3BB3">
        <w:rPr>
          <w:color w:val="0A2F41" w:themeColor="accent1" w:themeShade="80"/>
          <w:kern w:val="2"/>
          <w:lang w:val="sr-Latn-RS"/>
          <w14:ligatures w14:val="standardContextual"/>
        </w:rPr>
        <w:t xml:space="preserve"> je </w:t>
      </w:r>
      <w:r w:rsidR="00AB75A0">
        <w:rPr>
          <w:color w:val="0A2F41" w:themeColor="accent1" w:themeShade="80"/>
          <w:kern w:val="2"/>
          <w:lang w:val="sr-Latn-RS"/>
          <w14:ligatures w14:val="standardContextual"/>
        </w:rPr>
        <w:t>4.1</w:t>
      </w:r>
      <w:r w:rsidR="0006116B" w:rsidRPr="00FF3BB3">
        <w:rPr>
          <w:color w:val="0A2F41" w:themeColor="accent1" w:themeShade="80"/>
          <w:kern w:val="2"/>
          <w:lang w:val="sr-Latn-RS"/>
          <w14:ligatures w14:val="standardContextual"/>
        </w:rPr>
        <w:t xml:space="preserve"> </w:t>
      </w:r>
      <w:r w:rsidR="005A35F3" w:rsidRPr="00A94638">
        <w:rPr>
          <w:rFonts w:cstheme="majorHAnsi"/>
          <w:color w:val="0E2841" w:themeColor="text2"/>
          <w:lang w:val="sr-Latn-RS"/>
        </w:rPr>
        <w:t xml:space="preserve">bodova </w:t>
      </w:r>
      <w:r w:rsidR="0006116B" w:rsidRPr="00FF3BB3">
        <w:rPr>
          <w:color w:val="0A2F41" w:themeColor="accent1" w:themeShade="80"/>
          <w:kern w:val="2"/>
          <w:lang w:val="sr-Latn-RS"/>
          <w14:ligatures w14:val="standardContextual"/>
        </w:rPr>
        <w:t xml:space="preserve">od </w:t>
      </w:r>
      <w:r w:rsidR="00AB75A0">
        <w:rPr>
          <w:color w:val="0A2F41" w:themeColor="accent1" w:themeShade="80"/>
          <w:kern w:val="2"/>
          <w:lang w:val="sr-Latn-RS"/>
          <w14:ligatures w14:val="standardContextual"/>
        </w:rPr>
        <w:t>6</w:t>
      </w:r>
      <w:r w:rsidR="0006116B" w:rsidRPr="00FF3BB3">
        <w:rPr>
          <w:color w:val="0A2F41" w:themeColor="accent1" w:themeShade="80"/>
          <w:kern w:val="2"/>
          <w:lang w:val="sr-Latn-RS"/>
          <w14:ligatures w14:val="standardContextual"/>
        </w:rPr>
        <w:t xml:space="preserve"> moguća </w:t>
      </w:r>
      <w:r w:rsidR="005A35F3" w:rsidRPr="00A94638">
        <w:rPr>
          <w:rFonts w:cstheme="majorHAnsi"/>
          <w:color w:val="0E2841" w:themeColor="text2"/>
          <w:lang w:val="sr-Latn-RS"/>
        </w:rPr>
        <w:t xml:space="preserve">bodova </w:t>
      </w:r>
      <w:r w:rsidR="0006116B" w:rsidRPr="00FF3BB3">
        <w:rPr>
          <w:color w:val="0A2F41" w:themeColor="accent1" w:themeShade="80"/>
          <w:kern w:val="2"/>
          <w:lang w:val="sr-Latn-RS"/>
          <w14:ligatures w14:val="standardContextual"/>
        </w:rPr>
        <w:t>(</w:t>
      </w:r>
      <w:r w:rsidR="00AB75A0">
        <w:rPr>
          <w:color w:val="0A2F41" w:themeColor="accent1" w:themeShade="80"/>
          <w:kern w:val="2"/>
          <w14:ligatures w14:val="standardContextual"/>
        </w:rPr>
        <w:t>68.4</w:t>
      </w:r>
      <w:r w:rsidR="0006116B" w:rsidRPr="00FF3BB3">
        <w:rPr>
          <w:color w:val="0A2F41" w:themeColor="accent1" w:themeShade="80"/>
          <w:kern w:val="2"/>
          <w:lang w:val="sr-Latn-RS"/>
          <w14:ligatures w14:val="standardContextual"/>
        </w:rPr>
        <w:t>%).</w:t>
      </w:r>
    </w:p>
    <w:p w14:paraId="1775F9EE" w14:textId="453CDEDB" w:rsidR="0006116B" w:rsidRPr="00FF3BB3" w:rsidRDefault="0006116B" w:rsidP="00FF3BB3">
      <w:pPr>
        <w:spacing w:before="60" w:after="0" w:line="264" w:lineRule="auto"/>
        <w:contextualSpacing/>
        <w:jc w:val="both"/>
        <w:rPr>
          <w:color w:val="0A2F41" w:themeColor="accent1" w:themeShade="80"/>
          <w:kern w:val="2"/>
          <w:lang w:val="sr-Latn-RS"/>
          <w14:ligatures w14:val="standardContextual"/>
        </w:rPr>
      </w:pPr>
      <w:r w:rsidRPr="00FF3BB3">
        <w:rPr>
          <w:color w:val="0A2F41" w:themeColor="accent1" w:themeShade="80"/>
          <w:kern w:val="2"/>
          <w:lang w:val="sr-Latn-RS"/>
          <w14:ligatures w14:val="standardContextual"/>
        </w:rPr>
        <w:t>U pod</w:t>
      </w:r>
      <w:r w:rsidR="005A35F3">
        <w:rPr>
          <w:color w:val="0A2F41" w:themeColor="accent1" w:themeShade="80"/>
          <w:kern w:val="2"/>
          <w:lang w:val="sr-Latn-RS"/>
          <w14:ligatures w14:val="standardContextual"/>
        </w:rPr>
        <w:t>-</w:t>
      </w:r>
      <w:r w:rsidRPr="00FF3BB3">
        <w:rPr>
          <w:color w:val="0A2F41" w:themeColor="accent1" w:themeShade="80"/>
          <w:kern w:val="2"/>
          <w:lang w:val="sr-Latn-RS"/>
          <w14:ligatures w14:val="standardContextual"/>
        </w:rPr>
        <w:t xml:space="preserve">oblasti „Prostorno planiranje, javni prevoz i životna sredina“ ukupan prosečni učinak za 3 </w:t>
      </w:r>
      <w:r w:rsidR="005A35F3">
        <w:rPr>
          <w:color w:val="0A2F41" w:themeColor="accent1" w:themeShade="80"/>
          <w:kern w:val="2"/>
          <w:lang w:val="sr-Latn-RS"/>
          <w14:ligatures w14:val="standardContextual"/>
        </w:rPr>
        <w:t>pr</w:t>
      </w:r>
      <w:r w:rsidRPr="00FF3BB3">
        <w:rPr>
          <w:color w:val="0A2F41" w:themeColor="accent1" w:themeShade="80"/>
          <w:kern w:val="2"/>
          <w:lang w:val="sr-Latn-RS"/>
          <w14:ligatures w14:val="standardContextual"/>
        </w:rPr>
        <w:t xml:space="preserve">ocenjena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 xml:space="preserve">a je </w:t>
      </w:r>
      <w:r w:rsidR="00AB75A0">
        <w:rPr>
          <w:color w:val="0A2F41" w:themeColor="accent1" w:themeShade="80"/>
          <w:kern w:val="2"/>
          <w14:ligatures w14:val="standardContextual"/>
        </w:rPr>
        <w:t>2.2</w:t>
      </w:r>
      <w:r w:rsidR="00AB75A0" w:rsidRPr="003C0782">
        <w:rPr>
          <w:color w:val="0A2F41" w:themeColor="accent1" w:themeShade="80"/>
          <w:kern w:val="2"/>
          <w14:ligatures w14:val="standardContextual"/>
        </w:rPr>
        <w:t xml:space="preserve"> </w:t>
      </w:r>
      <w:r w:rsidR="005A35F3" w:rsidRPr="00A94638">
        <w:rPr>
          <w:rFonts w:cstheme="majorHAnsi"/>
          <w:color w:val="0E2841" w:themeColor="text2"/>
          <w:lang w:val="sr-Latn-RS"/>
        </w:rPr>
        <w:t xml:space="preserve">bodova </w:t>
      </w:r>
      <w:r w:rsidRPr="00FF3BB3">
        <w:rPr>
          <w:color w:val="0A2F41" w:themeColor="accent1" w:themeShade="80"/>
          <w:kern w:val="2"/>
          <w:lang w:val="sr-Latn-RS"/>
          <w14:ligatures w14:val="standardContextual"/>
        </w:rPr>
        <w:t xml:space="preserve">od 8 mogućih </w:t>
      </w:r>
      <w:r w:rsidR="005A35F3" w:rsidRPr="00A94638">
        <w:rPr>
          <w:rFonts w:cstheme="majorHAnsi"/>
          <w:color w:val="0E2841" w:themeColor="text2"/>
          <w:lang w:val="sr-Latn-RS"/>
        </w:rPr>
        <w:t xml:space="preserve">bodova </w:t>
      </w:r>
      <w:r w:rsidRPr="00FF3BB3">
        <w:rPr>
          <w:color w:val="0A2F41" w:themeColor="accent1" w:themeShade="80"/>
          <w:kern w:val="2"/>
          <w:lang w:val="sr-Latn-RS"/>
          <w14:ligatures w14:val="standardContextual"/>
        </w:rPr>
        <w:t>(</w:t>
      </w:r>
      <w:r w:rsidR="00AB75A0">
        <w:rPr>
          <w:color w:val="0A2F41" w:themeColor="accent1" w:themeShade="80"/>
          <w:kern w:val="2"/>
          <w:lang w:val="sr-Latn-RS"/>
          <w14:ligatures w14:val="standardContextual"/>
        </w:rPr>
        <w:t>27.6</w:t>
      </w:r>
      <w:r w:rsidRPr="00FF3BB3">
        <w:rPr>
          <w:color w:val="0A2F41" w:themeColor="accent1" w:themeShade="80"/>
          <w:kern w:val="2"/>
          <w:lang w:val="sr-Latn-RS"/>
          <w14:ligatures w14:val="standardContextual"/>
        </w:rPr>
        <w:t>%).</w:t>
      </w:r>
    </w:p>
    <w:p w14:paraId="2401E96B" w14:textId="78797597" w:rsidR="0006116B" w:rsidRPr="00FF3BB3" w:rsidRDefault="0006116B" w:rsidP="00FF3BB3">
      <w:pPr>
        <w:spacing w:before="60" w:after="0" w:line="264" w:lineRule="auto"/>
        <w:contextualSpacing/>
        <w:jc w:val="both"/>
        <w:rPr>
          <w:color w:val="0A2F41" w:themeColor="accent1" w:themeShade="80"/>
          <w:kern w:val="2"/>
          <w:lang w:val="sr-Latn-RS"/>
          <w14:ligatures w14:val="standardContextual"/>
        </w:rPr>
      </w:pPr>
      <w:r w:rsidRPr="00FF3BB3">
        <w:rPr>
          <w:color w:val="0A2F41" w:themeColor="accent1" w:themeShade="80"/>
          <w:kern w:val="2"/>
          <w:lang w:val="sr-Latn-RS"/>
          <w14:ligatures w14:val="standardContextual"/>
        </w:rPr>
        <w:t>U pod</w:t>
      </w:r>
      <w:r w:rsidR="005A35F3">
        <w:rPr>
          <w:color w:val="0A2F41" w:themeColor="accent1" w:themeShade="80"/>
          <w:kern w:val="2"/>
          <w:lang w:val="sr-Latn-RS"/>
          <w14:ligatures w14:val="standardContextual"/>
        </w:rPr>
        <w:t>-</w:t>
      </w:r>
      <w:r w:rsidRPr="00FF3BB3">
        <w:rPr>
          <w:color w:val="0A2F41" w:themeColor="accent1" w:themeShade="80"/>
          <w:kern w:val="2"/>
          <w:lang w:val="sr-Latn-RS"/>
          <w14:ligatures w14:val="standardContextual"/>
        </w:rPr>
        <w:t xml:space="preserve">oblasti „Preduniverzitetsko obrazovanje“ ukupan prosečni učinak za 2 </w:t>
      </w:r>
      <w:r w:rsidR="005A35F3">
        <w:rPr>
          <w:color w:val="0A2F41" w:themeColor="accent1" w:themeShade="80"/>
          <w:kern w:val="2"/>
          <w:lang w:val="sr-Latn-RS"/>
          <w14:ligatures w14:val="standardContextual"/>
        </w:rPr>
        <w:t>pr</w:t>
      </w:r>
      <w:r w:rsidRPr="00FF3BB3">
        <w:rPr>
          <w:color w:val="0A2F41" w:themeColor="accent1" w:themeShade="80"/>
          <w:kern w:val="2"/>
          <w:lang w:val="sr-Latn-RS"/>
          <w14:ligatures w14:val="standardContextual"/>
        </w:rPr>
        <w:t xml:space="preserve">ocenjena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 xml:space="preserve">a je </w:t>
      </w:r>
      <w:r w:rsidR="00AB75A0">
        <w:rPr>
          <w:color w:val="0A2F41" w:themeColor="accent1" w:themeShade="80"/>
          <w:kern w:val="2"/>
          <w:lang w:val="sr-Latn-RS"/>
          <w14:ligatures w14:val="standardContextual"/>
        </w:rPr>
        <w:t>1.3</w:t>
      </w:r>
      <w:r w:rsidRPr="00FF3BB3">
        <w:rPr>
          <w:color w:val="0A2F41" w:themeColor="accent1" w:themeShade="80"/>
          <w:kern w:val="2"/>
          <w:lang w:val="sr-Latn-RS"/>
          <w14:ligatures w14:val="standardContextual"/>
        </w:rPr>
        <w:t xml:space="preserve"> </w:t>
      </w:r>
      <w:r w:rsidR="005A35F3" w:rsidRPr="00A94638">
        <w:rPr>
          <w:rFonts w:cstheme="majorHAnsi"/>
          <w:color w:val="0E2841" w:themeColor="text2"/>
          <w:lang w:val="sr-Latn-RS"/>
        </w:rPr>
        <w:t xml:space="preserve">bodova </w:t>
      </w:r>
      <w:r w:rsidRPr="00FF3BB3">
        <w:rPr>
          <w:color w:val="0A2F41" w:themeColor="accent1" w:themeShade="80"/>
          <w:kern w:val="2"/>
          <w:lang w:val="sr-Latn-RS"/>
          <w14:ligatures w14:val="standardContextual"/>
        </w:rPr>
        <w:t xml:space="preserve">od 8 mogućih </w:t>
      </w:r>
      <w:r w:rsidR="005A35F3">
        <w:rPr>
          <w:color w:val="0A2F41" w:themeColor="accent1" w:themeShade="80"/>
          <w:kern w:val="2"/>
          <w:lang w:val="sr-Latn-RS"/>
          <w14:ligatures w14:val="standardContextual"/>
        </w:rPr>
        <w:t>bodova</w:t>
      </w:r>
      <w:r w:rsidRPr="00FF3BB3">
        <w:rPr>
          <w:color w:val="0A2F41" w:themeColor="accent1" w:themeShade="80"/>
          <w:kern w:val="2"/>
          <w:lang w:val="sr-Latn-RS"/>
          <w14:ligatures w14:val="standardContextual"/>
        </w:rPr>
        <w:t xml:space="preserve"> (</w:t>
      </w:r>
      <w:r w:rsidR="00AB75A0">
        <w:rPr>
          <w:color w:val="0A2F41" w:themeColor="accent1" w:themeShade="80"/>
          <w:kern w:val="2"/>
          <w:lang w:val="sr-Latn-RS"/>
          <w14:ligatures w14:val="standardContextual"/>
        </w:rPr>
        <w:t>16.4</w:t>
      </w:r>
      <w:r w:rsidRPr="00FF3BB3">
        <w:rPr>
          <w:color w:val="0A2F41" w:themeColor="accent1" w:themeShade="80"/>
          <w:kern w:val="2"/>
          <w:lang w:val="sr-Latn-RS"/>
          <w14:ligatures w14:val="standardContextual"/>
        </w:rPr>
        <w:t>%).</w:t>
      </w:r>
    </w:p>
    <w:p w14:paraId="78646C0F" w14:textId="039E485A" w:rsidR="0006116B" w:rsidRPr="00FF3BB3" w:rsidRDefault="0006116B" w:rsidP="00FF3BB3">
      <w:pPr>
        <w:spacing w:before="60" w:after="0" w:line="264" w:lineRule="auto"/>
        <w:contextualSpacing/>
        <w:jc w:val="both"/>
        <w:rPr>
          <w:color w:val="0A2F41" w:themeColor="accent1" w:themeShade="80"/>
          <w:kern w:val="2"/>
          <w:lang w:val="sr-Latn-RS"/>
          <w14:ligatures w14:val="standardContextual"/>
        </w:rPr>
      </w:pPr>
      <w:r w:rsidRPr="00FF3BB3">
        <w:rPr>
          <w:color w:val="0A2F41" w:themeColor="accent1" w:themeShade="80"/>
          <w:kern w:val="2"/>
          <w:lang w:val="sr-Latn-RS"/>
          <w14:ligatures w14:val="standardContextual"/>
        </w:rPr>
        <w:t>U pod</w:t>
      </w:r>
      <w:r w:rsidR="005A35F3">
        <w:rPr>
          <w:color w:val="0A2F41" w:themeColor="accent1" w:themeShade="80"/>
          <w:kern w:val="2"/>
          <w:lang w:val="sr-Latn-RS"/>
          <w14:ligatures w14:val="standardContextual"/>
        </w:rPr>
        <w:t>-</w:t>
      </w:r>
      <w:r w:rsidRPr="00FF3BB3">
        <w:rPr>
          <w:color w:val="0A2F41" w:themeColor="accent1" w:themeShade="80"/>
          <w:kern w:val="2"/>
          <w:lang w:val="sr-Latn-RS"/>
          <w14:ligatures w14:val="standardContextual"/>
        </w:rPr>
        <w:t xml:space="preserve">oblasti „Primarna zdravstvena zaštita“ ukupan prosečni učinak za 2 </w:t>
      </w:r>
      <w:r w:rsidR="005A35F3">
        <w:rPr>
          <w:color w:val="0A2F41" w:themeColor="accent1" w:themeShade="80"/>
          <w:kern w:val="2"/>
          <w:lang w:val="sr-Latn-RS"/>
          <w14:ligatures w14:val="standardContextual"/>
        </w:rPr>
        <w:t>pr</w:t>
      </w:r>
      <w:r w:rsidRPr="00FF3BB3">
        <w:rPr>
          <w:color w:val="0A2F41" w:themeColor="accent1" w:themeShade="80"/>
          <w:kern w:val="2"/>
          <w:lang w:val="sr-Latn-RS"/>
          <w14:ligatures w14:val="standardContextual"/>
        </w:rPr>
        <w:t xml:space="preserve">ocenjena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 xml:space="preserve">a je </w:t>
      </w:r>
      <w:r w:rsidR="00AB75A0">
        <w:rPr>
          <w:color w:val="0A2F41" w:themeColor="accent1" w:themeShade="80"/>
          <w:kern w:val="2"/>
          <w14:ligatures w14:val="standardContextual"/>
        </w:rPr>
        <w:t>3.3</w:t>
      </w:r>
      <w:r w:rsidR="00AB75A0" w:rsidRPr="003C0782">
        <w:rPr>
          <w:color w:val="0A2F41" w:themeColor="accent1" w:themeShade="80"/>
          <w:kern w:val="2"/>
          <w14:ligatures w14:val="standardContextual"/>
        </w:rPr>
        <w:t xml:space="preserve"> </w:t>
      </w:r>
      <w:r w:rsidR="005A35F3" w:rsidRPr="00A94638">
        <w:rPr>
          <w:rFonts w:cstheme="majorHAnsi"/>
          <w:color w:val="0E2841" w:themeColor="text2"/>
          <w:lang w:val="sr-Latn-RS"/>
        </w:rPr>
        <w:t xml:space="preserve">bodova </w:t>
      </w:r>
      <w:r w:rsidRPr="00FF3BB3">
        <w:rPr>
          <w:color w:val="0A2F41" w:themeColor="accent1" w:themeShade="80"/>
          <w:kern w:val="2"/>
          <w:lang w:val="sr-Latn-RS"/>
          <w14:ligatures w14:val="standardContextual"/>
        </w:rPr>
        <w:t xml:space="preserve">od 8 mogućih </w:t>
      </w:r>
      <w:r w:rsidR="005A35F3" w:rsidRPr="00A94638">
        <w:rPr>
          <w:rFonts w:cstheme="majorHAnsi"/>
          <w:color w:val="0E2841" w:themeColor="text2"/>
          <w:lang w:val="sr-Latn-RS"/>
        </w:rPr>
        <w:t xml:space="preserve">bodova </w:t>
      </w:r>
      <w:r w:rsidRPr="00FF3BB3">
        <w:rPr>
          <w:color w:val="0A2F41" w:themeColor="accent1" w:themeShade="80"/>
          <w:kern w:val="2"/>
          <w:lang w:val="sr-Latn-RS"/>
          <w14:ligatures w14:val="standardContextual"/>
        </w:rPr>
        <w:t>(</w:t>
      </w:r>
      <w:r w:rsidR="00AB75A0">
        <w:rPr>
          <w:color w:val="0A2F41" w:themeColor="accent1" w:themeShade="80"/>
          <w:kern w:val="2"/>
          <w:lang w:val="sr-Latn-RS"/>
          <w14:ligatures w14:val="standardContextual"/>
        </w:rPr>
        <w:t>40.8</w:t>
      </w:r>
      <w:r w:rsidRPr="00FF3BB3">
        <w:rPr>
          <w:color w:val="0A2F41" w:themeColor="accent1" w:themeShade="80"/>
          <w:kern w:val="2"/>
          <w:lang w:val="sr-Latn-RS"/>
          <w14:ligatures w14:val="standardContextual"/>
        </w:rPr>
        <w:t>%).</w:t>
      </w:r>
    </w:p>
    <w:p w14:paraId="3F927283" w14:textId="77777777" w:rsidR="0006116B" w:rsidRPr="00FF3BB3" w:rsidRDefault="0006116B" w:rsidP="00FF3BB3">
      <w:pPr>
        <w:spacing w:before="60" w:after="0" w:line="264" w:lineRule="auto"/>
        <w:contextualSpacing/>
        <w:jc w:val="both"/>
        <w:rPr>
          <w:color w:val="0A2F41" w:themeColor="accent1" w:themeShade="80"/>
          <w:kern w:val="2"/>
          <w:lang w:val="sr-Latn-RS"/>
          <w14:ligatures w14:val="standardContextual"/>
        </w:rPr>
      </w:pPr>
    </w:p>
    <w:p w14:paraId="703FD731" w14:textId="6E74BB2E" w:rsidR="0006116B" w:rsidRPr="00FF3BB3" w:rsidRDefault="0006116B" w:rsidP="00FF3BB3">
      <w:pPr>
        <w:spacing w:before="60" w:after="0" w:line="264" w:lineRule="auto"/>
        <w:contextualSpacing/>
        <w:jc w:val="both"/>
        <w:rPr>
          <w:color w:val="0A2F41" w:themeColor="accent1" w:themeShade="80"/>
          <w:kern w:val="2"/>
          <w:lang w:val="sr-Latn-RS"/>
          <w14:ligatures w14:val="standardContextual"/>
        </w:rPr>
      </w:pPr>
      <w:r w:rsidRPr="00FF3BB3">
        <w:rPr>
          <w:color w:val="0A2F41" w:themeColor="accent1" w:themeShade="80"/>
          <w:kern w:val="2"/>
          <w:lang w:val="sr-Latn-RS"/>
          <w14:ligatures w14:val="standardContextual"/>
        </w:rPr>
        <w:t>Opštine su imale najveći učinak u oblasti „ Administrativne usluge“.</w:t>
      </w:r>
    </w:p>
    <w:p w14:paraId="5C2F5734"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p>
    <w:p w14:paraId="1F314F04" w14:textId="79BB29FD" w:rsidR="0006116B" w:rsidRPr="00FF3BB3" w:rsidRDefault="0006116B" w:rsidP="00FF3BB3">
      <w:pPr>
        <w:keepNext/>
        <w:tabs>
          <w:tab w:val="left" w:pos="810"/>
        </w:tabs>
        <w:spacing w:before="240" w:after="0" w:line="240" w:lineRule="auto"/>
        <w:outlineLvl w:val="0"/>
        <w:rPr>
          <w:rFonts w:eastAsiaTheme="majorEastAsia" w:cstheme="majorHAnsi"/>
          <w:b/>
          <w:color w:val="0E2841" w:themeColor="text2"/>
          <w:sz w:val="24"/>
          <w:szCs w:val="24"/>
          <w:lang w:val="sr-Latn-RS"/>
        </w:rPr>
      </w:pPr>
      <w:bookmarkStart w:id="30" w:name="_Toc224550098"/>
      <w:r w:rsidRPr="00FF3BB3">
        <w:rPr>
          <w:rFonts w:eastAsiaTheme="majorEastAsia" w:cstheme="majorHAnsi"/>
          <w:b/>
          <w:color w:val="0E2841" w:themeColor="text2"/>
          <w:sz w:val="24"/>
          <w:szCs w:val="24"/>
          <w:lang w:val="sr-Latn-RS"/>
        </w:rPr>
        <w:t xml:space="preserve">2.2.3 Rezultati u </w:t>
      </w:r>
      <w:r w:rsidR="005A35F3">
        <w:rPr>
          <w:rFonts w:eastAsiaTheme="majorEastAsia" w:cstheme="majorHAnsi"/>
          <w:b/>
          <w:color w:val="0E2841" w:themeColor="text2"/>
          <w:sz w:val="24"/>
          <w:szCs w:val="24"/>
          <w:lang w:val="sr-Latn-RS"/>
        </w:rPr>
        <w:t>pokazatelj</w:t>
      </w:r>
      <w:r w:rsidR="005A35F3" w:rsidRPr="00FF3BB3">
        <w:rPr>
          <w:rFonts w:eastAsiaTheme="majorEastAsia" w:cstheme="majorHAnsi"/>
          <w:b/>
          <w:color w:val="0E2841" w:themeColor="text2"/>
          <w:sz w:val="24"/>
          <w:szCs w:val="24"/>
          <w:lang w:val="sr-Latn-RS"/>
        </w:rPr>
        <w:t xml:space="preserve">ima </w:t>
      </w:r>
      <w:r w:rsidR="00CA2E28">
        <w:rPr>
          <w:rFonts w:eastAsiaTheme="majorEastAsia" w:cstheme="majorHAnsi"/>
          <w:b/>
          <w:color w:val="0E2841" w:themeColor="text2"/>
          <w:sz w:val="24"/>
          <w:szCs w:val="24"/>
          <w:lang w:val="sr-Latn-RS"/>
        </w:rPr>
        <w:t>GOU</w:t>
      </w:r>
      <w:r w:rsidR="005A35F3">
        <w:rPr>
          <w:rFonts w:eastAsiaTheme="majorEastAsia" w:cstheme="majorHAnsi"/>
          <w:b/>
          <w:color w:val="0E2841" w:themeColor="text2"/>
          <w:sz w:val="24"/>
          <w:szCs w:val="24"/>
          <w:lang w:val="sr-Latn-RS"/>
        </w:rPr>
        <w:t>-a</w:t>
      </w:r>
      <w:bookmarkEnd w:id="30"/>
      <w:r w:rsidRPr="00FF3BB3">
        <w:rPr>
          <w:rFonts w:eastAsiaTheme="majorEastAsia" w:cstheme="majorHAnsi"/>
          <w:b/>
          <w:color w:val="0E2841" w:themeColor="text2"/>
          <w:sz w:val="24"/>
          <w:szCs w:val="24"/>
          <w:lang w:val="sr-Latn-RS"/>
        </w:rPr>
        <w:t xml:space="preserve"> </w:t>
      </w:r>
    </w:p>
    <w:p w14:paraId="41B12039"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p>
    <w:p w14:paraId="432E0765" w14:textId="239034B6" w:rsidR="0006116B" w:rsidRDefault="0006116B" w:rsidP="00FF3BB3">
      <w:pPr>
        <w:spacing w:before="60" w:after="0" w:line="264" w:lineRule="auto"/>
        <w:contextualSpacing/>
        <w:jc w:val="both"/>
        <w:rPr>
          <w:color w:val="0A2F41" w:themeColor="accent1" w:themeShade="80"/>
          <w:kern w:val="2"/>
          <w:lang w:val="sr-Latn-RS"/>
          <w14:ligatures w14:val="standardContextual"/>
        </w:rPr>
      </w:pPr>
      <w:r w:rsidRPr="00FF3BB3">
        <w:rPr>
          <w:color w:val="0A2F41" w:themeColor="accent1" w:themeShade="80"/>
          <w:kern w:val="2"/>
          <w:lang w:val="sr-Latn-RS"/>
          <w14:ligatures w14:val="standardContextual"/>
        </w:rPr>
        <w:t xml:space="preserve">Na nivou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 xml:space="preserve">a, opštine su najveći učinak imale kod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a „</w:t>
      </w:r>
      <w:r w:rsidR="00AB75A0" w:rsidRPr="00AB75A0">
        <w:rPr>
          <w:color w:val="0A2F41" w:themeColor="accent1" w:themeShade="80"/>
          <w:kern w:val="2"/>
          <w:lang w:val="sr-Latn-RS"/>
          <w14:ligatures w14:val="standardContextual"/>
        </w:rPr>
        <w:t>Ispunjenost kriterijuma službene internet stranice opštine</w:t>
      </w:r>
      <w:r w:rsidRPr="00FF3BB3">
        <w:rPr>
          <w:color w:val="0A2F41" w:themeColor="accent1" w:themeShade="80"/>
          <w:kern w:val="2"/>
          <w:lang w:val="sr-Latn-RS"/>
          <w14:ligatures w14:val="standardContextual"/>
        </w:rPr>
        <w:t>” sa 82,</w:t>
      </w:r>
      <w:r w:rsidR="00AB75A0">
        <w:rPr>
          <w:color w:val="0A2F41" w:themeColor="accent1" w:themeShade="80"/>
          <w:kern w:val="2"/>
          <w:lang w:val="sr-Latn-RS"/>
          <w14:ligatures w14:val="standardContextual"/>
        </w:rPr>
        <w:t>5</w:t>
      </w:r>
      <w:r w:rsidRPr="00FF3BB3">
        <w:rPr>
          <w:color w:val="0A2F41" w:themeColor="accent1" w:themeShade="80"/>
          <w:kern w:val="2"/>
          <w:lang w:val="sr-Latn-RS"/>
          <w14:ligatures w14:val="standardContextual"/>
        </w:rPr>
        <w:t xml:space="preserve">%, kao i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a „</w:t>
      </w:r>
      <w:r w:rsidR="00AB75A0" w:rsidRPr="00AB75A0">
        <w:rPr>
          <w:color w:val="0A2F41" w:themeColor="accent1" w:themeShade="80"/>
          <w:kern w:val="2"/>
          <w:lang w:val="sr-Latn-RS"/>
          <w14:ligatures w14:val="standardContextual"/>
        </w:rPr>
        <w:t>Izrada plana razvoja osoblja</w:t>
      </w:r>
      <w:r w:rsidRPr="00FF3BB3">
        <w:rPr>
          <w:color w:val="0A2F41" w:themeColor="accent1" w:themeShade="80"/>
          <w:kern w:val="2"/>
          <w:lang w:val="sr-Latn-RS"/>
          <w14:ligatures w14:val="standardContextual"/>
        </w:rPr>
        <w:t xml:space="preserve">” sa </w:t>
      </w:r>
      <w:r w:rsidR="00AB75A0" w:rsidRPr="00AB75A0">
        <w:rPr>
          <w:color w:val="0A2F41" w:themeColor="accent1" w:themeShade="80"/>
          <w:kern w:val="2"/>
          <w:lang w:val="sr-Latn-RS"/>
          <w14:ligatures w14:val="standardContextual"/>
        </w:rPr>
        <w:t>81.6%</w:t>
      </w:r>
      <w:r w:rsidRPr="00FF3BB3">
        <w:rPr>
          <w:color w:val="0A2F41" w:themeColor="accent1" w:themeShade="80"/>
          <w:kern w:val="2"/>
          <w:lang w:val="sr-Latn-RS"/>
          <w14:ligatures w14:val="standardContextual"/>
        </w:rPr>
        <w:t xml:space="preserve">%. Dok </w:t>
      </w:r>
      <w:r w:rsidR="00AB75A0">
        <w:rPr>
          <w:color w:val="0A2F41" w:themeColor="accent1" w:themeShade="80"/>
          <w:kern w:val="2"/>
          <w:lang w:val="sr-Latn-RS"/>
          <w14:ligatures w14:val="standardContextual"/>
        </w:rPr>
        <w:t>je</w:t>
      </w:r>
      <w:r w:rsidRPr="00FF3BB3">
        <w:rPr>
          <w:color w:val="0A2F41" w:themeColor="accent1" w:themeShade="80"/>
          <w:kern w:val="2"/>
          <w:lang w:val="sr-Latn-RS"/>
          <w14:ligatures w14:val="standardContextual"/>
        </w:rPr>
        <w:t xml:space="preserve"> </w:t>
      </w:r>
      <w:r w:rsidR="005A35F3">
        <w:rPr>
          <w:color w:val="0A2F41" w:themeColor="accent1" w:themeShade="80"/>
          <w:kern w:val="2"/>
          <w:lang w:val="sr-Latn-RS"/>
          <w14:ligatures w14:val="standardContextual"/>
        </w:rPr>
        <w:t>pokazatelj</w:t>
      </w:r>
      <w:r w:rsidRPr="00FF3BB3">
        <w:rPr>
          <w:color w:val="0A2F41" w:themeColor="accent1" w:themeShade="80"/>
          <w:kern w:val="2"/>
          <w:lang w:val="sr-Latn-RS"/>
          <w14:ligatures w14:val="standardContextual"/>
        </w:rPr>
        <w:t xml:space="preserve"> sa najnižim učinkom b</w:t>
      </w:r>
      <w:r w:rsidR="00AB75A0">
        <w:rPr>
          <w:color w:val="0A2F41" w:themeColor="accent1" w:themeShade="80"/>
          <w:kern w:val="2"/>
          <w:lang w:val="sr-Latn-RS"/>
          <w14:ligatures w14:val="standardContextual"/>
        </w:rPr>
        <w:t>io</w:t>
      </w:r>
      <w:r w:rsidR="00312944">
        <w:rPr>
          <w:color w:val="0A2F41" w:themeColor="accent1" w:themeShade="80"/>
          <w:kern w:val="2"/>
          <w:lang w:val="sr-Latn-RS"/>
          <w14:ligatures w14:val="standardContextual"/>
        </w:rPr>
        <w:t xml:space="preserve"> „</w:t>
      </w:r>
      <w:r w:rsidR="00AB75A0" w:rsidRPr="00AB75A0">
        <w:rPr>
          <w:color w:val="0A2F41" w:themeColor="accent1" w:themeShade="80"/>
          <w:kern w:val="2"/>
          <w:lang w:val="sr-Latn-RS"/>
          <w14:ligatures w14:val="standardContextual"/>
        </w:rPr>
        <w:t>Stopa naplate poreza na imovinu (bez dugova, kamata, kazni)</w:t>
      </w:r>
      <w:r w:rsidRPr="00FF3BB3">
        <w:rPr>
          <w:color w:val="0A2F41" w:themeColor="accent1" w:themeShade="80"/>
          <w:kern w:val="2"/>
          <w:lang w:val="sr-Latn-RS"/>
          <w14:ligatures w14:val="standardContextual"/>
        </w:rPr>
        <w:t>“</w:t>
      </w:r>
      <w:r w:rsidR="00AB75A0">
        <w:rPr>
          <w:color w:val="0A2F41" w:themeColor="accent1" w:themeShade="80"/>
          <w:kern w:val="2"/>
          <w:lang w:val="sr-Latn-RS"/>
          <w14:ligatures w14:val="standardContextual"/>
        </w:rPr>
        <w:t>.</w:t>
      </w:r>
    </w:p>
    <w:p w14:paraId="6E42FDA9" w14:textId="77777777" w:rsidR="00AB75A0" w:rsidRPr="00FF3BB3" w:rsidRDefault="00AB75A0" w:rsidP="00FF3BB3">
      <w:pPr>
        <w:spacing w:before="60" w:after="0" w:line="264" w:lineRule="auto"/>
        <w:contextualSpacing/>
        <w:jc w:val="both"/>
        <w:rPr>
          <w:color w:val="0A2F41" w:themeColor="accent1" w:themeShade="80"/>
          <w:kern w:val="2"/>
          <w:lang w:val="sr-Latn-RS"/>
          <w14:ligatures w14:val="standardContextual"/>
        </w:rPr>
      </w:pPr>
    </w:p>
    <w:p w14:paraId="57DE7B9E"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p>
    <w:p w14:paraId="6A7AC88B" w14:textId="77777777" w:rsidR="004B1398" w:rsidRDefault="004B1398" w:rsidP="00FF3BB3">
      <w:pPr>
        <w:pStyle w:val="Caption"/>
        <w:keepNext/>
        <w:jc w:val="both"/>
        <w:rPr>
          <w:lang w:val="sr-Latn-RS"/>
        </w:rPr>
      </w:pPr>
    </w:p>
    <w:p w14:paraId="6F8663E9" w14:textId="77777777" w:rsidR="004B1398" w:rsidRDefault="004B1398" w:rsidP="004B1398">
      <w:pPr>
        <w:rPr>
          <w:lang w:val="sr-Latn-RS"/>
        </w:rPr>
      </w:pPr>
    </w:p>
    <w:p w14:paraId="3A3472E0" w14:textId="77777777" w:rsidR="004B1398" w:rsidRDefault="004B1398" w:rsidP="004B1398">
      <w:pPr>
        <w:rPr>
          <w:lang w:val="sr-Latn-RS"/>
        </w:rPr>
      </w:pPr>
    </w:p>
    <w:p w14:paraId="0D3932A5" w14:textId="700ECA92" w:rsidR="0006116B" w:rsidRDefault="0006116B" w:rsidP="00FF3BB3">
      <w:pPr>
        <w:pStyle w:val="Caption"/>
        <w:keepNext/>
        <w:jc w:val="both"/>
        <w:rPr>
          <w:lang w:val="sr-Latn-RS"/>
        </w:rPr>
      </w:pPr>
    </w:p>
    <w:p w14:paraId="027E2619" w14:textId="77777777" w:rsidR="00AB75A0" w:rsidRPr="00AB75A0" w:rsidRDefault="00AB75A0" w:rsidP="00AB75A0">
      <w:pPr>
        <w:rPr>
          <w:lang w:val="sr-Latn-RS"/>
        </w:rPr>
      </w:pPr>
    </w:p>
    <w:tbl>
      <w:tblPr>
        <w:tblW w:w="9260" w:type="dxa"/>
        <w:tblLook w:val="04A0" w:firstRow="1" w:lastRow="0" w:firstColumn="1" w:lastColumn="0" w:noHBand="0" w:noVBand="1"/>
      </w:tblPr>
      <w:tblGrid>
        <w:gridCol w:w="972"/>
        <w:gridCol w:w="7134"/>
        <w:gridCol w:w="1154"/>
      </w:tblGrid>
      <w:tr w:rsidR="00444E55" w:rsidRPr="00444E55" w14:paraId="4D448D1E" w14:textId="77777777" w:rsidTr="00444E55">
        <w:trPr>
          <w:trHeight w:val="510"/>
        </w:trPr>
        <w:tc>
          <w:tcPr>
            <w:tcW w:w="8106" w:type="dxa"/>
            <w:gridSpan w:val="2"/>
            <w:tcBorders>
              <w:top w:val="single" w:sz="8" w:space="0" w:color="auto"/>
              <w:left w:val="single" w:sz="8" w:space="0" w:color="auto"/>
              <w:bottom w:val="single" w:sz="4" w:space="0" w:color="auto"/>
              <w:right w:val="single" w:sz="4" w:space="0" w:color="000000"/>
            </w:tcBorders>
            <w:shd w:val="clear" w:color="auto" w:fill="0E2841" w:themeFill="text2"/>
            <w:noWrap/>
            <w:vAlign w:val="center"/>
            <w:hideMark/>
          </w:tcPr>
          <w:p w14:paraId="41BC6712" w14:textId="77777777" w:rsidR="00444E55" w:rsidRPr="00444E55" w:rsidRDefault="00444E55" w:rsidP="00444E55">
            <w:pPr>
              <w:spacing w:after="0" w:line="240" w:lineRule="auto"/>
              <w:rPr>
                <w:rFonts w:ascii="Aptos Display" w:eastAsia="Times New Roman" w:hAnsi="Aptos Display" w:cs="Calibri"/>
                <w:b/>
                <w:bCs/>
                <w:color w:val="FFFFFF"/>
                <w:sz w:val="20"/>
                <w:szCs w:val="20"/>
                <w:lang w:val="en-US"/>
              </w:rPr>
            </w:pPr>
            <w:r w:rsidRPr="00444E55">
              <w:rPr>
                <w:rFonts w:ascii="Aptos Display" w:eastAsia="Times New Roman" w:hAnsi="Aptos Display" w:cs="Calibri"/>
                <w:b/>
                <w:bCs/>
                <w:color w:val="FFFFFF"/>
                <w:sz w:val="20"/>
                <w:szCs w:val="20"/>
                <w:lang w:val="en-US"/>
              </w:rPr>
              <w:lastRenderedPageBreak/>
              <w:t>Oblasti, pod-oblasti i pokazatelji</w:t>
            </w:r>
          </w:p>
        </w:tc>
        <w:tc>
          <w:tcPr>
            <w:tcW w:w="1154" w:type="dxa"/>
            <w:tcBorders>
              <w:top w:val="single" w:sz="8" w:space="0" w:color="auto"/>
              <w:left w:val="nil"/>
              <w:bottom w:val="single" w:sz="4" w:space="0" w:color="auto"/>
              <w:right w:val="single" w:sz="8" w:space="0" w:color="auto"/>
            </w:tcBorders>
            <w:shd w:val="clear" w:color="auto" w:fill="0E2841" w:themeFill="text2"/>
            <w:vAlign w:val="center"/>
            <w:hideMark/>
          </w:tcPr>
          <w:p w14:paraId="73CAFC78"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Prosek po pokazatelju</w:t>
            </w:r>
          </w:p>
        </w:tc>
      </w:tr>
      <w:tr w:rsidR="00444E55" w:rsidRPr="00444E55" w14:paraId="267654C4" w14:textId="77777777" w:rsidTr="00444E55">
        <w:trPr>
          <w:trHeight w:val="600"/>
        </w:trPr>
        <w:tc>
          <w:tcPr>
            <w:tcW w:w="8106" w:type="dxa"/>
            <w:gridSpan w:val="2"/>
            <w:tcBorders>
              <w:top w:val="single" w:sz="4" w:space="0" w:color="auto"/>
              <w:left w:val="single" w:sz="8" w:space="0" w:color="auto"/>
              <w:bottom w:val="single" w:sz="4" w:space="0" w:color="auto"/>
              <w:right w:val="single" w:sz="4" w:space="0" w:color="auto"/>
            </w:tcBorders>
            <w:shd w:val="clear" w:color="auto" w:fill="0E2841" w:themeFill="text2"/>
            <w:vAlign w:val="center"/>
            <w:hideMark/>
          </w:tcPr>
          <w:p w14:paraId="59E685BF"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OPŠTINSKO UPRAVLJANJE - Uloga Skupštine opštine, učešće i uključenost građana, transparentnost i odgovornost</w:t>
            </w:r>
          </w:p>
        </w:tc>
        <w:tc>
          <w:tcPr>
            <w:tcW w:w="1154" w:type="dxa"/>
            <w:tcBorders>
              <w:top w:val="nil"/>
              <w:left w:val="single" w:sz="4" w:space="0" w:color="auto"/>
              <w:bottom w:val="single" w:sz="4" w:space="0" w:color="auto"/>
              <w:right w:val="single" w:sz="8" w:space="0" w:color="auto"/>
            </w:tcBorders>
            <w:shd w:val="clear" w:color="auto" w:fill="0E2841" w:themeFill="text2"/>
            <w:noWrap/>
            <w:vAlign w:val="center"/>
            <w:hideMark/>
          </w:tcPr>
          <w:p w14:paraId="7BA5E605"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51.6%</w:t>
            </w:r>
          </w:p>
        </w:tc>
      </w:tr>
      <w:tr w:rsidR="00444E55" w:rsidRPr="00444E55" w14:paraId="33460B45" w14:textId="77777777" w:rsidTr="00444E55">
        <w:trPr>
          <w:trHeight w:val="20"/>
        </w:trPr>
        <w:tc>
          <w:tcPr>
            <w:tcW w:w="972" w:type="dxa"/>
            <w:tcBorders>
              <w:top w:val="single" w:sz="4" w:space="0" w:color="auto"/>
              <w:left w:val="single" w:sz="8" w:space="0" w:color="auto"/>
              <w:bottom w:val="single" w:sz="4" w:space="0" w:color="auto"/>
              <w:right w:val="single" w:sz="4" w:space="0" w:color="auto"/>
            </w:tcBorders>
            <w:shd w:val="clear" w:color="auto" w:fill="215E99" w:themeFill="text2" w:themeFillTint="BF"/>
            <w:noWrap/>
            <w:vAlign w:val="center"/>
            <w:hideMark/>
          </w:tcPr>
          <w:p w14:paraId="249E9BED"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73D099D4"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sr-Latn-RS"/>
              </w:rPr>
              <w:t>Uloga skupštine opštine kao nadzornog organa</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24AA45D7"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57.2%</w:t>
            </w:r>
          </w:p>
        </w:tc>
      </w:tr>
      <w:tr w:rsidR="00444E55" w:rsidRPr="00444E55" w14:paraId="0D5C5BAB"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12B1875"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0D55F16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 xml:space="preserve">Blagovremeno usvajanje predloga godišnjeg opštinskog budžeta </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351BFA41"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63.2%</w:t>
            </w:r>
          </w:p>
        </w:tc>
      </w:tr>
      <w:tr w:rsidR="00444E55" w:rsidRPr="00444E55" w14:paraId="3C194682"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B35709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3C2DE112"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Rasprava o tromesečnim budžetskim izveštajima Skupštine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4720458E"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68.4%</w:t>
            </w:r>
          </w:p>
        </w:tc>
      </w:tr>
      <w:tr w:rsidR="00444E55" w:rsidRPr="00444E55" w14:paraId="00B1CB95"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0B2AE9D"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3</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51E1782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Diskusija o izveštaju Skupštine opštine o radu opštine za prošlu godinu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51CB5612"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44.7%</w:t>
            </w:r>
          </w:p>
        </w:tc>
      </w:tr>
      <w:tr w:rsidR="00444E55" w:rsidRPr="00444E55" w14:paraId="3A4CD115"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FDBBAD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4</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6B9BAE49"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Diskusija o izveštaju spoljnog revizora i akcionom planu za sprovođenje preporuka u Skupštini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4E7A0634"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57.9%</w:t>
            </w:r>
          </w:p>
        </w:tc>
      </w:tr>
      <w:tr w:rsidR="00444E55" w:rsidRPr="00444E55" w14:paraId="4CE3143F"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FFDE474"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5</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3A31F71B"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Sednica Skupštine opštine uz učešće gradonačelnika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29E18CCB"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40.8%</w:t>
            </w:r>
          </w:p>
        </w:tc>
      </w:tr>
      <w:tr w:rsidR="00444E55" w:rsidRPr="00444E55" w14:paraId="3A30547A" w14:textId="77777777" w:rsidTr="00444E55">
        <w:trPr>
          <w:trHeight w:val="20"/>
        </w:trPr>
        <w:tc>
          <w:tcPr>
            <w:tcW w:w="972" w:type="dxa"/>
            <w:tcBorders>
              <w:top w:val="nil"/>
              <w:left w:val="single" w:sz="8" w:space="0" w:color="auto"/>
              <w:bottom w:val="single" w:sz="4" w:space="0" w:color="auto"/>
              <w:right w:val="single" w:sz="4" w:space="0" w:color="auto"/>
            </w:tcBorders>
            <w:shd w:val="clear" w:color="auto" w:fill="215E99" w:themeFill="text2" w:themeFillTint="BF"/>
            <w:vAlign w:val="center"/>
            <w:hideMark/>
          </w:tcPr>
          <w:p w14:paraId="3E8CA02F"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II</w:t>
            </w:r>
          </w:p>
        </w:tc>
        <w:tc>
          <w:tcPr>
            <w:tcW w:w="7134" w:type="dxa"/>
            <w:tcBorders>
              <w:top w:val="nil"/>
              <w:left w:val="single" w:sz="4" w:space="0" w:color="auto"/>
              <w:bottom w:val="single" w:sz="4" w:space="0" w:color="auto"/>
              <w:right w:val="single" w:sz="4" w:space="0" w:color="auto"/>
            </w:tcBorders>
            <w:shd w:val="clear" w:color="auto" w:fill="215E99" w:themeFill="text2" w:themeFillTint="BF"/>
            <w:vAlign w:val="center"/>
            <w:hideMark/>
          </w:tcPr>
          <w:p w14:paraId="33EA091C"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Učešće, konsultacije i inkluzivnost građana</w:t>
            </w:r>
          </w:p>
        </w:tc>
        <w:tc>
          <w:tcPr>
            <w:tcW w:w="1154" w:type="dxa"/>
            <w:tcBorders>
              <w:top w:val="nil"/>
              <w:left w:val="single" w:sz="4" w:space="0" w:color="auto"/>
              <w:bottom w:val="single" w:sz="4" w:space="0" w:color="auto"/>
              <w:right w:val="single" w:sz="8" w:space="0" w:color="auto"/>
            </w:tcBorders>
            <w:shd w:val="clear" w:color="auto" w:fill="215E99" w:themeFill="text2" w:themeFillTint="BF"/>
            <w:vAlign w:val="center"/>
            <w:hideMark/>
          </w:tcPr>
          <w:p w14:paraId="346C4F70"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40.8%</w:t>
            </w:r>
          </w:p>
        </w:tc>
      </w:tr>
      <w:tr w:rsidR="00444E55" w:rsidRPr="00444E55" w14:paraId="53CA8B9E" w14:textId="77777777" w:rsidTr="00444E55">
        <w:trPr>
          <w:trHeight w:val="450"/>
        </w:trPr>
        <w:tc>
          <w:tcPr>
            <w:tcW w:w="972" w:type="dxa"/>
            <w:vMerge w:val="restart"/>
            <w:tcBorders>
              <w:top w:val="nil"/>
              <w:left w:val="single" w:sz="8" w:space="0" w:color="auto"/>
              <w:bottom w:val="single" w:sz="4" w:space="0" w:color="auto"/>
              <w:right w:val="single" w:sz="4" w:space="0" w:color="auto"/>
            </w:tcBorders>
            <w:shd w:val="clear" w:color="000000" w:fill="DDEBF7"/>
            <w:vAlign w:val="center"/>
            <w:hideMark/>
          </w:tcPr>
          <w:p w14:paraId="6B25AF8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w:t>
            </w:r>
          </w:p>
        </w:tc>
        <w:tc>
          <w:tcPr>
            <w:tcW w:w="7134" w:type="dxa"/>
            <w:vMerge w:val="restart"/>
            <w:tcBorders>
              <w:top w:val="nil"/>
              <w:left w:val="single" w:sz="4" w:space="0" w:color="auto"/>
              <w:bottom w:val="single" w:sz="4" w:space="0" w:color="auto"/>
              <w:right w:val="single" w:sz="4" w:space="0" w:color="auto"/>
            </w:tcBorders>
            <w:shd w:val="clear" w:color="000000" w:fill="DDEBF7"/>
            <w:vAlign w:val="center"/>
            <w:hideMark/>
          </w:tcPr>
          <w:p w14:paraId="1FCB946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 xml:space="preserve">Učešće građana u javnim konsultacijama, razvrstano po polu </w:t>
            </w:r>
          </w:p>
        </w:tc>
        <w:tc>
          <w:tcPr>
            <w:tcW w:w="1154" w:type="dxa"/>
            <w:vMerge w:val="restart"/>
            <w:tcBorders>
              <w:top w:val="nil"/>
              <w:left w:val="single" w:sz="4" w:space="0" w:color="auto"/>
              <w:bottom w:val="single" w:sz="4" w:space="0" w:color="auto"/>
              <w:right w:val="single" w:sz="8" w:space="0" w:color="auto"/>
            </w:tcBorders>
            <w:shd w:val="clear" w:color="000000" w:fill="DDEBF7"/>
            <w:vAlign w:val="center"/>
            <w:hideMark/>
          </w:tcPr>
          <w:p w14:paraId="6008FC79"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19.1%</w:t>
            </w:r>
          </w:p>
        </w:tc>
      </w:tr>
      <w:tr w:rsidR="00444E55" w:rsidRPr="00444E55" w14:paraId="309FB0F7" w14:textId="77777777" w:rsidTr="00444E55">
        <w:trPr>
          <w:trHeight w:val="450"/>
        </w:trPr>
        <w:tc>
          <w:tcPr>
            <w:tcW w:w="972" w:type="dxa"/>
            <w:vMerge/>
            <w:tcBorders>
              <w:top w:val="nil"/>
              <w:left w:val="single" w:sz="8" w:space="0" w:color="auto"/>
              <w:bottom w:val="single" w:sz="4" w:space="0" w:color="auto"/>
              <w:right w:val="single" w:sz="4" w:space="0" w:color="auto"/>
            </w:tcBorders>
            <w:vAlign w:val="center"/>
            <w:hideMark/>
          </w:tcPr>
          <w:p w14:paraId="1C5B0830"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c>
          <w:tcPr>
            <w:tcW w:w="7134" w:type="dxa"/>
            <w:vMerge/>
            <w:tcBorders>
              <w:top w:val="nil"/>
              <w:left w:val="single" w:sz="4" w:space="0" w:color="auto"/>
              <w:bottom w:val="single" w:sz="4" w:space="0" w:color="auto"/>
              <w:right w:val="single" w:sz="4" w:space="0" w:color="auto"/>
            </w:tcBorders>
            <w:vAlign w:val="center"/>
            <w:hideMark/>
          </w:tcPr>
          <w:p w14:paraId="6B55E078"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c>
          <w:tcPr>
            <w:tcW w:w="1154" w:type="dxa"/>
            <w:vMerge/>
            <w:tcBorders>
              <w:top w:val="nil"/>
              <w:left w:val="single" w:sz="4" w:space="0" w:color="auto"/>
              <w:bottom w:val="single" w:sz="4" w:space="0" w:color="auto"/>
              <w:right w:val="single" w:sz="8" w:space="0" w:color="auto"/>
            </w:tcBorders>
            <w:vAlign w:val="center"/>
            <w:hideMark/>
          </w:tcPr>
          <w:p w14:paraId="58913CED"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r>
      <w:tr w:rsidR="00444E55" w:rsidRPr="00444E55" w14:paraId="390B1CFA"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7954BCE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7</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42E1086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Opštinski akti i dokumenti lokalne politike konsultovani sa javnošću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4E0CEAC7"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40.8%</w:t>
            </w:r>
          </w:p>
        </w:tc>
      </w:tr>
      <w:tr w:rsidR="00444E55" w:rsidRPr="00444E55" w14:paraId="21067D51"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7A6377F0"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8</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54FD193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Javne rasprave za SOB i opštinski budžet (proporcionalno prema # stanovnika)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0CBD2388"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62.5%</w:t>
            </w:r>
          </w:p>
        </w:tc>
      </w:tr>
      <w:tr w:rsidR="00444E55" w:rsidRPr="00444E55" w14:paraId="75B1E62A" w14:textId="77777777" w:rsidTr="00444E55">
        <w:trPr>
          <w:trHeight w:val="20"/>
        </w:trPr>
        <w:tc>
          <w:tcPr>
            <w:tcW w:w="972" w:type="dxa"/>
            <w:tcBorders>
              <w:top w:val="nil"/>
              <w:left w:val="single" w:sz="8" w:space="0" w:color="auto"/>
              <w:bottom w:val="single" w:sz="4" w:space="0" w:color="auto"/>
              <w:right w:val="single" w:sz="4" w:space="0" w:color="auto"/>
            </w:tcBorders>
            <w:shd w:val="clear" w:color="auto" w:fill="215E99" w:themeFill="text2" w:themeFillTint="BF"/>
            <w:noWrap/>
            <w:vAlign w:val="center"/>
            <w:hideMark/>
          </w:tcPr>
          <w:p w14:paraId="11025290"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III</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21261264"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Transparentnost, pristup informacijama i integritet</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4C9C4305"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55.4%</w:t>
            </w:r>
          </w:p>
        </w:tc>
      </w:tr>
      <w:tr w:rsidR="00444E55" w:rsidRPr="00444E55" w14:paraId="516BE30C"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44D7D590"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9</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2728DC5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Sastanci Skupštine su objavljeni i emitovani uživo online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6599C614"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53.9%</w:t>
            </w:r>
          </w:p>
        </w:tc>
      </w:tr>
      <w:tr w:rsidR="00444E55" w:rsidRPr="00444E55" w14:paraId="7AEAF05E"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2F22F7B"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10</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10145FA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Ispunjenost kriterijuma službene internet stranice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78A60E3C"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82.5%</w:t>
            </w:r>
          </w:p>
        </w:tc>
      </w:tr>
      <w:tr w:rsidR="00444E55" w:rsidRPr="00444E55" w14:paraId="063B22BB"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2143665"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11</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7C77780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Objavljivanje dokumentacije o javnim nabavkama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0E45E092"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65.8%</w:t>
            </w:r>
          </w:p>
        </w:tc>
      </w:tr>
      <w:tr w:rsidR="00444E55" w:rsidRPr="00444E55" w14:paraId="002D2923"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5B005C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12</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6CDA4C5A"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Objavljivanje izveštaja​ o procesima javnih konsultacija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0DB00738"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38.2%</w:t>
            </w:r>
          </w:p>
        </w:tc>
      </w:tr>
      <w:tr w:rsidR="00444E55" w:rsidRPr="00444E55" w14:paraId="1781F3BC"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5F8FE221"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13</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2DE2F198"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Izveštavanje godišnjeg plana integriteta pred Skupštinom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765B21C4"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36.8%</w:t>
            </w:r>
          </w:p>
        </w:tc>
      </w:tr>
      <w:tr w:rsidR="00444E55" w:rsidRPr="00444E55" w14:paraId="65EB2CFC" w14:textId="77777777" w:rsidTr="00444E55">
        <w:trPr>
          <w:trHeight w:val="563"/>
        </w:trPr>
        <w:tc>
          <w:tcPr>
            <w:tcW w:w="8106" w:type="dxa"/>
            <w:gridSpan w:val="2"/>
            <w:tcBorders>
              <w:top w:val="single" w:sz="4" w:space="0" w:color="auto"/>
              <w:left w:val="single" w:sz="8" w:space="0" w:color="auto"/>
              <w:bottom w:val="single" w:sz="4" w:space="0" w:color="auto"/>
              <w:right w:val="single" w:sz="4" w:space="0" w:color="auto"/>
            </w:tcBorders>
            <w:shd w:val="clear" w:color="auto" w:fill="0E2841" w:themeFill="text2"/>
            <w:vAlign w:val="center"/>
            <w:hideMark/>
          </w:tcPr>
          <w:p w14:paraId="6F703861"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II. OPŠTINSKO UPRAVLJANJE - Upravljanje finansijama, upravljanje ugovorima i upravljanje ljudskim resursima</w:t>
            </w:r>
          </w:p>
        </w:tc>
        <w:tc>
          <w:tcPr>
            <w:tcW w:w="1154" w:type="dxa"/>
            <w:tcBorders>
              <w:top w:val="nil"/>
              <w:left w:val="single" w:sz="4" w:space="0" w:color="auto"/>
              <w:bottom w:val="single" w:sz="4" w:space="0" w:color="auto"/>
              <w:right w:val="single" w:sz="8" w:space="0" w:color="auto"/>
            </w:tcBorders>
            <w:shd w:val="clear" w:color="auto" w:fill="0E2841" w:themeFill="text2"/>
            <w:noWrap/>
            <w:vAlign w:val="center"/>
            <w:hideMark/>
          </w:tcPr>
          <w:p w14:paraId="3F2FCD36"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33.6%</w:t>
            </w:r>
          </w:p>
        </w:tc>
      </w:tr>
      <w:tr w:rsidR="00444E55" w:rsidRPr="00444E55" w14:paraId="717EC976" w14:textId="77777777" w:rsidTr="00444E55">
        <w:trPr>
          <w:trHeight w:val="57"/>
        </w:trPr>
        <w:tc>
          <w:tcPr>
            <w:tcW w:w="972" w:type="dxa"/>
            <w:tcBorders>
              <w:top w:val="single" w:sz="4" w:space="0" w:color="auto"/>
              <w:left w:val="single" w:sz="8" w:space="0" w:color="auto"/>
              <w:bottom w:val="single" w:sz="4" w:space="0" w:color="auto"/>
              <w:right w:val="single" w:sz="4" w:space="0" w:color="auto"/>
            </w:tcBorders>
            <w:shd w:val="clear" w:color="auto" w:fill="215E99" w:themeFill="text2" w:themeFillTint="BF"/>
            <w:noWrap/>
            <w:vAlign w:val="center"/>
            <w:hideMark/>
          </w:tcPr>
          <w:p w14:paraId="0A29BDF4"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IV</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7E68FD86"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Finansijsko upravljanje</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1CD2ED40"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14.6%</w:t>
            </w:r>
          </w:p>
        </w:tc>
      </w:tr>
      <w:tr w:rsidR="00444E55" w:rsidRPr="00444E55" w14:paraId="5D60DA5F"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8039DE4"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14</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2DCD0E91"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Nivo ažuriranja registra poreza na imovinu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2EB4A93E"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20.2%</w:t>
            </w:r>
          </w:p>
        </w:tc>
      </w:tr>
      <w:tr w:rsidR="00444E55" w:rsidRPr="00444E55" w14:paraId="59594A69"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67A65CBB"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15</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74405330"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Stopa naplate poreza na imovinu (bez dugova, kamata, kazni)</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62C44FCC"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3.2%</w:t>
            </w:r>
          </w:p>
        </w:tc>
      </w:tr>
      <w:tr w:rsidR="00444E55" w:rsidRPr="00444E55" w14:paraId="0343F9F6"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518888C4"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16 a</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7DF3B33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Nivo primene preporuka Nacionalne kancelarije za reviziju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0930753F"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28.1%</w:t>
            </w:r>
          </w:p>
        </w:tc>
      </w:tr>
      <w:tr w:rsidR="00444E55" w:rsidRPr="00444E55" w14:paraId="5FAB31CD"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FCE4D6"/>
            <w:vAlign w:val="center"/>
            <w:hideMark/>
          </w:tcPr>
          <w:p w14:paraId="61D90E3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16 b</w:t>
            </w:r>
          </w:p>
        </w:tc>
        <w:tc>
          <w:tcPr>
            <w:tcW w:w="7134" w:type="dxa"/>
            <w:tcBorders>
              <w:top w:val="nil"/>
              <w:left w:val="single" w:sz="4" w:space="0" w:color="auto"/>
              <w:bottom w:val="single" w:sz="4" w:space="0" w:color="auto"/>
              <w:right w:val="single" w:sz="4" w:space="0" w:color="auto"/>
            </w:tcBorders>
            <w:shd w:val="clear" w:color="000000" w:fill="FCE4D6"/>
            <w:vAlign w:val="center"/>
            <w:hideMark/>
          </w:tcPr>
          <w:p w14:paraId="5F03F2A8"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Nivo primene preporuka unutrašnjeg revizora</w:t>
            </w:r>
          </w:p>
        </w:tc>
        <w:tc>
          <w:tcPr>
            <w:tcW w:w="1154" w:type="dxa"/>
            <w:tcBorders>
              <w:top w:val="nil"/>
              <w:left w:val="single" w:sz="4" w:space="0" w:color="auto"/>
              <w:bottom w:val="single" w:sz="4" w:space="0" w:color="auto"/>
              <w:right w:val="single" w:sz="8" w:space="0" w:color="auto"/>
            </w:tcBorders>
            <w:shd w:val="clear" w:color="000000" w:fill="FCE4D6"/>
            <w:vAlign w:val="center"/>
            <w:hideMark/>
          </w:tcPr>
          <w:p w14:paraId="3581063A"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0.0%</w:t>
            </w:r>
          </w:p>
        </w:tc>
      </w:tr>
      <w:tr w:rsidR="00444E55" w:rsidRPr="00444E55" w14:paraId="3ECC43C9" w14:textId="77777777" w:rsidTr="00444E55">
        <w:trPr>
          <w:trHeight w:val="57"/>
        </w:trPr>
        <w:tc>
          <w:tcPr>
            <w:tcW w:w="972" w:type="dxa"/>
            <w:tcBorders>
              <w:top w:val="nil"/>
              <w:left w:val="single" w:sz="8" w:space="0" w:color="auto"/>
              <w:bottom w:val="single" w:sz="4" w:space="0" w:color="auto"/>
              <w:right w:val="single" w:sz="4" w:space="0" w:color="auto"/>
            </w:tcBorders>
            <w:shd w:val="clear" w:color="auto" w:fill="215E99" w:themeFill="text2" w:themeFillTint="BF"/>
            <w:noWrap/>
            <w:vAlign w:val="center"/>
            <w:hideMark/>
          </w:tcPr>
          <w:p w14:paraId="45A271BE"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V</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03F271ED"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Upravljanje ugovorom</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070933CB"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59.4%</w:t>
            </w:r>
          </w:p>
        </w:tc>
      </w:tr>
      <w:tr w:rsidR="00444E55" w:rsidRPr="00444E55" w14:paraId="70AA9B6E"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D513D0D"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17</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709FFD0D"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Sprovođenje plana nabavki</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44BBDA0D"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64.5%</w:t>
            </w:r>
          </w:p>
        </w:tc>
      </w:tr>
      <w:tr w:rsidR="00444E55" w:rsidRPr="00444E55" w14:paraId="13E6F719"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5C19AE1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18</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60388E2E"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Priprema i objavljivanje spiska opštinske imovine planirane za davanje na korišćenje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74B37524"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59.4%</w:t>
            </w:r>
          </w:p>
        </w:tc>
      </w:tr>
      <w:tr w:rsidR="00444E55" w:rsidRPr="00444E55" w14:paraId="7346B86D" w14:textId="77777777" w:rsidTr="00444E55">
        <w:trPr>
          <w:trHeight w:val="20"/>
        </w:trPr>
        <w:tc>
          <w:tcPr>
            <w:tcW w:w="972" w:type="dxa"/>
            <w:tcBorders>
              <w:top w:val="nil"/>
              <w:left w:val="single" w:sz="8" w:space="0" w:color="auto"/>
              <w:bottom w:val="single" w:sz="4" w:space="0" w:color="auto"/>
              <w:right w:val="single" w:sz="4" w:space="0" w:color="auto"/>
            </w:tcBorders>
            <w:shd w:val="clear" w:color="auto" w:fill="215E99" w:themeFill="text2" w:themeFillTint="BF"/>
            <w:noWrap/>
            <w:vAlign w:val="center"/>
            <w:hideMark/>
          </w:tcPr>
          <w:p w14:paraId="1EA2326E"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VI</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4F757037"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 xml:space="preserve">Upravljanje ljudskim resursima </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675EC80B"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36.3%</w:t>
            </w:r>
          </w:p>
        </w:tc>
      </w:tr>
      <w:tr w:rsidR="00444E55" w:rsidRPr="00444E55" w14:paraId="7222207E"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7B1E234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19</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4E3D7553"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Izrada plana razvoja osoblja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26CAD316"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81.6%</w:t>
            </w:r>
          </w:p>
        </w:tc>
      </w:tr>
      <w:tr w:rsidR="00444E55" w:rsidRPr="00444E55" w14:paraId="74D429EF"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245787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20</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5E2B15EA"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Žene na rukovodećim pozicijama u obrazovnim, zdravstvenim i kulturnim institucijama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35F4A40D"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24.7%</w:t>
            </w:r>
          </w:p>
        </w:tc>
      </w:tr>
      <w:tr w:rsidR="00444E55" w:rsidRPr="00444E55" w14:paraId="23BB1B93"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0A59B05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21</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2DCE861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Žene postavljene na političke funkcije u opštini</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66FC138C"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25.4%</w:t>
            </w:r>
          </w:p>
        </w:tc>
      </w:tr>
      <w:tr w:rsidR="00444E55" w:rsidRPr="00444E55" w14:paraId="52F69B30" w14:textId="77777777" w:rsidTr="00444E55">
        <w:trPr>
          <w:trHeight w:val="563"/>
        </w:trPr>
        <w:tc>
          <w:tcPr>
            <w:tcW w:w="8106" w:type="dxa"/>
            <w:gridSpan w:val="2"/>
            <w:tcBorders>
              <w:top w:val="single" w:sz="4" w:space="0" w:color="auto"/>
              <w:left w:val="single" w:sz="8" w:space="0" w:color="auto"/>
              <w:bottom w:val="single" w:sz="4" w:space="0" w:color="auto"/>
              <w:right w:val="single" w:sz="4" w:space="0" w:color="auto"/>
            </w:tcBorders>
            <w:shd w:val="clear" w:color="auto" w:fill="0E2841" w:themeFill="text2"/>
            <w:vAlign w:val="center"/>
            <w:hideMark/>
          </w:tcPr>
          <w:p w14:paraId="5C1D97F7"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III. PRUŽANJE USLUGA - Pristup i kvalitet pružanja usluga - Po sektorima</w:t>
            </w:r>
          </w:p>
        </w:tc>
        <w:tc>
          <w:tcPr>
            <w:tcW w:w="1154" w:type="dxa"/>
            <w:tcBorders>
              <w:top w:val="nil"/>
              <w:left w:val="single" w:sz="4" w:space="0" w:color="auto"/>
              <w:bottom w:val="single" w:sz="4" w:space="0" w:color="auto"/>
              <w:right w:val="single" w:sz="8" w:space="0" w:color="auto"/>
            </w:tcBorders>
            <w:shd w:val="clear" w:color="auto" w:fill="0E2841" w:themeFill="text2"/>
            <w:noWrap/>
            <w:vAlign w:val="center"/>
            <w:hideMark/>
          </w:tcPr>
          <w:p w14:paraId="765BB618"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36.3%</w:t>
            </w:r>
          </w:p>
        </w:tc>
      </w:tr>
      <w:tr w:rsidR="00444E55" w:rsidRPr="00444E55" w14:paraId="23CC57E7" w14:textId="77777777" w:rsidTr="00444E55">
        <w:trPr>
          <w:trHeight w:val="20"/>
        </w:trPr>
        <w:tc>
          <w:tcPr>
            <w:tcW w:w="972" w:type="dxa"/>
            <w:tcBorders>
              <w:top w:val="single" w:sz="4" w:space="0" w:color="auto"/>
              <w:left w:val="single" w:sz="8" w:space="0" w:color="auto"/>
              <w:bottom w:val="single" w:sz="4" w:space="0" w:color="auto"/>
              <w:right w:val="single" w:sz="4" w:space="0" w:color="auto"/>
            </w:tcBorders>
            <w:shd w:val="clear" w:color="auto" w:fill="215E99" w:themeFill="text2" w:themeFillTint="BF"/>
            <w:noWrap/>
            <w:vAlign w:val="center"/>
            <w:hideMark/>
          </w:tcPr>
          <w:p w14:paraId="59AC6FA1"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VII</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4743629B"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Administrativne usluge</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7F2ABC75"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68.4%</w:t>
            </w:r>
          </w:p>
        </w:tc>
      </w:tr>
      <w:tr w:rsidR="00444E55" w:rsidRPr="00444E55" w14:paraId="548CE1C8"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715508F0"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22</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6644DF1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Pojednostavljene administrativne usluge za smanjenje administrativnog opterećenja na opštinskom nivou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7B2F5197"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67.1%</w:t>
            </w:r>
          </w:p>
        </w:tc>
      </w:tr>
      <w:tr w:rsidR="00444E55" w:rsidRPr="00444E55" w14:paraId="1C043DDD"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BBE9DCF"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23</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1AB8D41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Razmotreni zahtevi za građevinske dozvole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3FADFBB5"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71.1%</w:t>
            </w:r>
          </w:p>
        </w:tc>
      </w:tr>
      <w:tr w:rsidR="00444E55" w:rsidRPr="00444E55" w14:paraId="51133C5C" w14:textId="77777777" w:rsidTr="00444E55">
        <w:trPr>
          <w:trHeight w:val="20"/>
        </w:trPr>
        <w:tc>
          <w:tcPr>
            <w:tcW w:w="972" w:type="dxa"/>
            <w:tcBorders>
              <w:top w:val="nil"/>
              <w:left w:val="single" w:sz="8" w:space="0" w:color="auto"/>
              <w:bottom w:val="single" w:sz="4" w:space="0" w:color="auto"/>
              <w:right w:val="single" w:sz="4" w:space="0" w:color="auto"/>
            </w:tcBorders>
            <w:shd w:val="clear" w:color="auto" w:fill="215E99" w:themeFill="text2" w:themeFillTint="BF"/>
            <w:noWrap/>
            <w:vAlign w:val="center"/>
            <w:hideMark/>
          </w:tcPr>
          <w:p w14:paraId="69C5FCB5"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VIII</w:t>
            </w:r>
          </w:p>
        </w:tc>
        <w:tc>
          <w:tcPr>
            <w:tcW w:w="7134" w:type="dxa"/>
            <w:tcBorders>
              <w:top w:val="nil"/>
              <w:left w:val="single" w:sz="4" w:space="0" w:color="auto"/>
              <w:bottom w:val="single" w:sz="4" w:space="0" w:color="auto"/>
              <w:right w:val="single" w:sz="4" w:space="0" w:color="auto"/>
            </w:tcBorders>
            <w:shd w:val="clear" w:color="auto" w:fill="215E99" w:themeFill="text2" w:themeFillTint="BF"/>
            <w:noWrap/>
            <w:vAlign w:val="center"/>
            <w:hideMark/>
          </w:tcPr>
          <w:p w14:paraId="6B7C9926"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Prostorno planiranje, javni prevoz i životna sredina</w:t>
            </w:r>
          </w:p>
        </w:tc>
        <w:tc>
          <w:tcPr>
            <w:tcW w:w="1154" w:type="dxa"/>
            <w:tcBorders>
              <w:top w:val="nil"/>
              <w:left w:val="single" w:sz="4" w:space="0" w:color="auto"/>
              <w:bottom w:val="single" w:sz="4" w:space="0" w:color="auto"/>
              <w:right w:val="single" w:sz="8" w:space="0" w:color="auto"/>
            </w:tcBorders>
            <w:shd w:val="clear" w:color="auto" w:fill="215E99" w:themeFill="text2" w:themeFillTint="BF"/>
            <w:noWrap/>
            <w:vAlign w:val="center"/>
            <w:hideMark/>
          </w:tcPr>
          <w:p w14:paraId="260C2823"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27.6%</w:t>
            </w:r>
          </w:p>
        </w:tc>
      </w:tr>
      <w:tr w:rsidR="00444E55" w:rsidRPr="00444E55" w14:paraId="43B61268"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69FF84FD"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24</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0A9DC983"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Područje teritorije opština obuhvaćeno razvojnim planovima opštine</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624853C5"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41.2%</w:t>
            </w:r>
          </w:p>
        </w:tc>
      </w:tr>
      <w:tr w:rsidR="00444E55" w:rsidRPr="00444E55" w14:paraId="5E061242"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AECF4E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25</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2F7C0295"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 xml:space="preserve">Naselja uključena u lokalni javni prevoz </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437BDE9A"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25.4%</w:t>
            </w:r>
          </w:p>
        </w:tc>
      </w:tr>
      <w:tr w:rsidR="00444E55" w:rsidRPr="00444E55" w14:paraId="218C7B9D" w14:textId="77777777" w:rsidTr="00444E55">
        <w:trPr>
          <w:trHeight w:val="57"/>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9F75A1A"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26</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1148660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sr-Latn-RS"/>
              </w:rPr>
              <w:t>Sprovođenje Lokalnog ekološkog akcionog plana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217FA298"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10.5%</w:t>
            </w:r>
          </w:p>
        </w:tc>
      </w:tr>
      <w:tr w:rsidR="00444E55" w:rsidRPr="00444E55" w14:paraId="5F21F5A9" w14:textId="77777777" w:rsidTr="00444E55">
        <w:trPr>
          <w:trHeight w:val="283"/>
        </w:trPr>
        <w:tc>
          <w:tcPr>
            <w:tcW w:w="972" w:type="dxa"/>
            <w:tcBorders>
              <w:top w:val="nil"/>
              <w:left w:val="single" w:sz="8" w:space="0" w:color="auto"/>
              <w:bottom w:val="single" w:sz="4" w:space="0" w:color="auto"/>
              <w:right w:val="single" w:sz="4" w:space="0" w:color="auto"/>
            </w:tcBorders>
            <w:shd w:val="clear" w:color="auto" w:fill="215E99" w:themeFill="text2" w:themeFillTint="BF"/>
            <w:vAlign w:val="center"/>
            <w:hideMark/>
          </w:tcPr>
          <w:p w14:paraId="256EF8F3"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IX</w:t>
            </w:r>
          </w:p>
        </w:tc>
        <w:tc>
          <w:tcPr>
            <w:tcW w:w="7134" w:type="dxa"/>
            <w:tcBorders>
              <w:top w:val="nil"/>
              <w:left w:val="single" w:sz="4" w:space="0" w:color="auto"/>
              <w:bottom w:val="single" w:sz="4" w:space="0" w:color="auto"/>
              <w:right w:val="single" w:sz="4" w:space="0" w:color="auto"/>
            </w:tcBorders>
            <w:shd w:val="clear" w:color="auto" w:fill="215E99" w:themeFill="text2" w:themeFillTint="BF"/>
            <w:vAlign w:val="center"/>
            <w:hideMark/>
          </w:tcPr>
          <w:p w14:paraId="2D513D9F"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Preduniverzitetsko obrazovanje</w:t>
            </w:r>
          </w:p>
        </w:tc>
        <w:tc>
          <w:tcPr>
            <w:tcW w:w="1154" w:type="dxa"/>
            <w:tcBorders>
              <w:top w:val="nil"/>
              <w:left w:val="single" w:sz="4" w:space="0" w:color="auto"/>
              <w:bottom w:val="single" w:sz="4" w:space="0" w:color="auto"/>
              <w:right w:val="single" w:sz="8" w:space="0" w:color="auto"/>
            </w:tcBorders>
            <w:shd w:val="clear" w:color="auto" w:fill="215E99" w:themeFill="text2" w:themeFillTint="BF"/>
            <w:vAlign w:val="center"/>
            <w:hideMark/>
          </w:tcPr>
          <w:p w14:paraId="20B5D135"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16.4%</w:t>
            </w:r>
          </w:p>
        </w:tc>
      </w:tr>
      <w:tr w:rsidR="00444E55" w:rsidRPr="00444E55" w14:paraId="074C82F3" w14:textId="77777777" w:rsidTr="00444E55">
        <w:trPr>
          <w:trHeight w:val="2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34DA2E1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lastRenderedPageBreak/>
              <w:t>27</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3126C5BB"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Ispunjavanje potrebnih uslova u smislu infrastrukture, opreme i alata u institucijama preduniverzitetskog obrazovanja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377C5234"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13.2%</w:t>
            </w:r>
          </w:p>
        </w:tc>
      </w:tr>
      <w:tr w:rsidR="00444E55" w:rsidRPr="00444E55" w14:paraId="45FCAEC3" w14:textId="77777777" w:rsidTr="00444E55">
        <w:trPr>
          <w:trHeight w:val="450"/>
        </w:trPr>
        <w:tc>
          <w:tcPr>
            <w:tcW w:w="972" w:type="dxa"/>
            <w:vMerge w:val="restart"/>
            <w:tcBorders>
              <w:top w:val="nil"/>
              <w:left w:val="single" w:sz="8" w:space="0" w:color="auto"/>
              <w:bottom w:val="single" w:sz="4" w:space="0" w:color="auto"/>
              <w:right w:val="single" w:sz="4" w:space="0" w:color="auto"/>
            </w:tcBorders>
            <w:shd w:val="clear" w:color="000000" w:fill="DDEBF7"/>
            <w:vAlign w:val="center"/>
            <w:hideMark/>
          </w:tcPr>
          <w:p w14:paraId="1D484CBE"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28</w:t>
            </w:r>
          </w:p>
        </w:tc>
        <w:tc>
          <w:tcPr>
            <w:tcW w:w="7134" w:type="dxa"/>
            <w:vMerge w:val="restart"/>
            <w:tcBorders>
              <w:top w:val="nil"/>
              <w:left w:val="single" w:sz="4" w:space="0" w:color="auto"/>
              <w:bottom w:val="single" w:sz="4" w:space="0" w:color="auto"/>
              <w:right w:val="single" w:sz="4" w:space="0" w:color="auto"/>
            </w:tcBorders>
            <w:shd w:val="clear" w:color="000000" w:fill="DDEBF7"/>
            <w:vAlign w:val="center"/>
            <w:hideMark/>
          </w:tcPr>
          <w:p w14:paraId="79B4CBCB"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Nivo usklađenosti sa ciljnim odnosom učenik i nastavnik</w:t>
            </w:r>
          </w:p>
        </w:tc>
        <w:tc>
          <w:tcPr>
            <w:tcW w:w="1154" w:type="dxa"/>
            <w:vMerge w:val="restart"/>
            <w:tcBorders>
              <w:top w:val="nil"/>
              <w:left w:val="single" w:sz="4" w:space="0" w:color="auto"/>
              <w:bottom w:val="single" w:sz="4" w:space="0" w:color="auto"/>
              <w:right w:val="single" w:sz="8" w:space="0" w:color="auto"/>
            </w:tcBorders>
            <w:shd w:val="clear" w:color="000000" w:fill="DDEBF7"/>
            <w:vAlign w:val="center"/>
            <w:hideMark/>
          </w:tcPr>
          <w:p w14:paraId="27FB227C"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19.7%</w:t>
            </w:r>
          </w:p>
        </w:tc>
      </w:tr>
      <w:tr w:rsidR="00444E55" w:rsidRPr="00444E55" w14:paraId="5C89DC56" w14:textId="77777777" w:rsidTr="00444E55">
        <w:trPr>
          <w:trHeight w:val="450"/>
        </w:trPr>
        <w:tc>
          <w:tcPr>
            <w:tcW w:w="972" w:type="dxa"/>
            <w:vMerge/>
            <w:tcBorders>
              <w:top w:val="nil"/>
              <w:left w:val="single" w:sz="8" w:space="0" w:color="auto"/>
              <w:bottom w:val="single" w:sz="4" w:space="0" w:color="auto"/>
              <w:right w:val="single" w:sz="4" w:space="0" w:color="auto"/>
            </w:tcBorders>
            <w:vAlign w:val="center"/>
            <w:hideMark/>
          </w:tcPr>
          <w:p w14:paraId="09C95738"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c>
          <w:tcPr>
            <w:tcW w:w="7134" w:type="dxa"/>
            <w:vMerge/>
            <w:tcBorders>
              <w:top w:val="nil"/>
              <w:left w:val="single" w:sz="4" w:space="0" w:color="auto"/>
              <w:bottom w:val="single" w:sz="4" w:space="0" w:color="auto"/>
              <w:right w:val="single" w:sz="4" w:space="0" w:color="auto"/>
            </w:tcBorders>
            <w:vAlign w:val="center"/>
            <w:hideMark/>
          </w:tcPr>
          <w:p w14:paraId="0C23B3CC"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c>
          <w:tcPr>
            <w:tcW w:w="1154" w:type="dxa"/>
            <w:vMerge/>
            <w:tcBorders>
              <w:top w:val="nil"/>
              <w:left w:val="single" w:sz="4" w:space="0" w:color="auto"/>
              <w:bottom w:val="single" w:sz="4" w:space="0" w:color="auto"/>
              <w:right w:val="single" w:sz="8" w:space="0" w:color="auto"/>
            </w:tcBorders>
            <w:vAlign w:val="center"/>
            <w:hideMark/>
          </w:tcPr>
          <w:p w14:paraId="50B55247"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p>
        </w:tc>
      </w:tr>
      <w:tr w:rsidR="00444E55" w:rsidRPr="00444E55" w14:paraId="051915DF" w14:textId="77777777" w:rsidTr="00444E55">
        <w:trPr>
          <w:trHeight w:val="283"/>
        </w:trPr>
        <w:tc>
          <w:tcPr>
            <w:tcW w:w="972" w:type="dxa"/>
            <w:tcBorders>
              <w:top w:val="nil"/>
              <w:left w:val="single" w:sz="8" w:space="0" w:color="auto"/>
              <w:bottom w:val="single" w:sz="4" w:space="0" w:color="auto"/>
              <w:right w:val="single" w:sz="4" w:space="0" w:color="auto"/>
            </w:tcBorders>
            <w:shd w:val="clear" w:color="auto" w:fill="215E99" w:themeFill="text2" w:themeFillTint="BF"/>
            <w:vAlign w:val="center"/>
            <w:hideMark/>
          </w:tcPr>
          <w:p w14:paraId="2FD6B9F1"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X</w:t>
            </w:r>
          </w:p>
        </w:tc>
        <w:tc>
          <w:tcPr>
            <w:tcW w:w="7134" w:type="dxa"/>
            <w:tcBorders>
              <w:top w:val="nil"/>
              <w:left w:val="single" w:sz="4" w:space="0" w:color="auto"/>
              <w:bottom w:val="single" w:sz="4" w:space="0" w:color="auto"/>
              <w:right w:val="single" w:sz="4" w:space="0" w:color="auto"/>
            </w:tcBorders>
            <w:shd w:val="clear" w:color="auto" w:fill="215E99" w:themeFill="text2" w:themeFillTint="BF"/>
            <w:vAlign w:val="center"/>
            <w:hideMark/>
          </w:tcPr>
          <w:p w14:paraId="5BA81F33" w14:textId="77777777" w:rsidR="00444E55" w:rsidRPr="00444E55" w:rsidRDefault="00444E55" w:rsidP="00444E55">
            <w:pPr>
              <w:spacing w:after="0" w:line="240" w:lineRule="auto"/>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Primarna zdravstvena zaštita</w:t>
            </w:r>
          </w:p>
        </w:tc>
        <w:tc>
          <w:tcPr>
            <w:tcW w:w="1154" w:type="dxa"/>
            <w:tcBorders>
              <w:top w:val="nil"/>
              <w:left w:val="single" w:sz="4" w:space="0" w:color="auto"/>
              <w:bottom w:val="single" w:sz="4" w:space="0" w:color="auto"/>
              <w:right w:val="single" w:sz="8" w:space="0" w:color="auto"/>
            </w:tcBorders>
            <w:shd w:val="clear" w:color="auto" w:fill="215E99" w:themeFill="text2" w:themeFillTint="BF"/>
            <w:vAlign w:val="center"/>
            <w:hideMark/>
          </w:tcPr>
          <w:p w14:paraId="5BC1E0C3" w14:textId="77777777" w:rsidR="00444E55" w:rsidRPr="00444E55" w:rsidRDefault="00444E55" w:rsidP="00444E55">
            <w:pPr>
              <w:spacing w:after="0" w:line="240" w:lineRule="auto"/>
              <w:jc w:val="center"/>
              <w:rPr>
                <w:rFonts w:ascii="Aptos Display" w:eastAsia="Times New Roman" w:hAnsi="Aptos Display" w:cs="Calibri"/>
                <w:color w:val="FFFFFF"/>
                <w:sz w:val="20"/>
                <w:szCs w:val="20"/>
                <w:lang w:val="en-US"/>
              </w:rPr>
            </w:pPr>
            <w:r w:rsidRPr="00444E55">
              <w:rPr>
                <w:rFonts w:ascii="Aptos Display" w:eastAsia="Times New Roman" w:hAnsi="Aptos Display" w:cs="Calibri"/>
                <w:color w:val="FFFFFF"/>
                <w:sz w:val="20"/>
                <w:szCs w:val="20"/>
                <w:lang w:val="en-US"/>
              </w:rPr>
              <w:t>40.8%</w:t>
            </w:r>
          </w:p>
        </w:tc>
      </w:tr>
      <w:tr w:rsidR="00444E55" w:rsidRPr="00444E55" w14:paraId="432929E6" w14:textId="77777777" w:rsidTr="00444E55">
        <w:trPr>
          <w:trHeight w:val="51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2E68B766"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29</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02507E0E"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Jedinice primarne zdravstvene zaštite sa laboratorijskom opremom i uslugama prema administrativnom uputstvu</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650082D3"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56.6%</w:t>
            </w:r>
          </w:p>
        </w:tc>
      </w:tr>
      <w:tr w:rsidR="00444E55" w:rsidRPr="00444E55" w14:paraId="67FD05A4" w14:textId="77777777" w:rsidTr="00444E55">
        <w:trPr>
          <w:trHeight w:val="300"/>
        </w:trPr>
        <w:tc>
          <w:tcPr>
            <w:tcW w:w="972" w:type="dxa"/>
            <w:tcBorders>
              <w:top w:val="nil"/>
              <w:left w:val="single" w:sz="8" w:space="0" w:color="auto"/>
              <w:bottom w:val="single" w:sz="4" w:space="0" w:color="auto"/>
              <w:right w:val="single" w:sz="4" w:space="0" w:color="auto"/>
            </w:tcBorders>
            <w:shd w:val="clear" w:color="000000" w:fill="DDEBF7"/>
            <w:vAlign w:val="center"/>
            <w:hideMark/>
          </w:tcPr>
          <w:p w14:paraId="1D394622"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30</w:t>
            </w:r>
          </w:p>
        </w:tc>
        <w:tc>
          <w:tcPr>
            <w:tcW w:w="7134" w:type="dxa"/>
            <w:tcBorders>
              <w:top w:val="nil"/>
              <w:left w:val="single" w:sz="4" w:space="0" w:color="auto"/>
              <w:bottom w:val="single" w:sz="4" w:space="0" w:color="auto"/>
              <w:right w:val="single" w:sz="4" w:space="0" w:color="auto"/>
            </w:tcBorders>
            <w:shd w:val="clear" w:color="000000" w:fill="DDEBF7"/>
            <w:vAlign w:val="center"/>
            <w:hideMark/>
          </w:tcPr>
          <w:p w14:paraId="39443735" w14:textId="77777777" w:rsidR="00444E55" w:rsidRPr="00444E55" w:rsidRDefault="00444E55" w:rsidP="00444E55">
            <w:pPr>
              <w:spacing w:after="0" w:line="240" w:lineRule="auto"/>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Nivo usklađenosti sa timovima porodične medicine i oralnog zdravlja</w:t>
            </w:r>
          </w:p>
        </w:tc>
        <w:tc>
          <w:tcPr>
            <w:tcW w:w="1154" w:type="dxa"/>
            <w:tcBorders>
              <w:top w:val="nil"/>
              <w:left w:val="single" w:sz="4" w:space="0" w:color="auto"/>
              <w:bottom w:val="single" w:sz="4" w:space="0" w:color="auto"/>
              <w:right w:val="single" w:sz="8" w:space="0" w:color="auto"/>
            </w:tcBorders>
            <w:shd w:val="clear" w:color="000000" w:fill="DDEBF7"/>
            <w:vAlign w:val="center"/>
            <w:hideMark/>
          </w:tcPr>
          <w:p w14:paraId="0906B038" w14:textId="77777777" w:rsidR="00444E55" w:rsidRPr="00444E55" w:rsidRDefault="00444E55" w:rsidP="00444E55">
            <w:pPr>
              <w:spacing w:after="0" w:line="240" w:lineRule="auto"/>
              <w:jc w:val="center"/>
              <w:rPr>
                <w:rFonts w:ascii="Aptos Display" w:eastAsia="Times New Roman" w:hAnsi="Aptos Display" w:cs="Calibri"/>
                <w:color w:val="000000"/>
                <w:sz w:val="20"/>
                <w:szCs w:val="20"/>
                <w:lang w:val="en-US"/>
              </w:rPr>
            </w:pPr>
            <w:r w:rsidRPr="00444E55">
              <w:rPr>
                <w:rFonts w:ascii="Aptos Display" w:eastAsia="Times New Roman" w:hAnsi="Aptos Display" w:cs="Calibri"/>
                <w:color w:val="000000"/>
                <w:sz w:val="20"/>
                <w:szCs w:val="20"/>
                <w:lang w:val="en-US"/>
              </w:rPr>
              <w:t>25.0%</w:t>
            </w:r>
          </w:p>
        </w:tc>
      </w:tr>
      <w:tr w:rsidR="00444E55" w:rsidRPr="00444E55" w14:paraId="630501B8" w14:textId="77777777" w:rsidTr="00444E55">
        <w:trPr>
          <w:trHeight w:val="70"/>
        </w:trPr>
        <w:tc>
          <w:tcPr>
            <w:tcW w:w="8106" w:type="dxa"/>
            <w:gridSpan w:val="2"/>
            <w:tcBorders>
              <w:top w:val="nil"/>
              <w:left w:val="single" w:sz="8" w:space="0" w:color="auto"/>
              <w:bottom w:val="single" w:sz="8" w:space="0" w:color="auto"/>
              <w:right w:val="single" w:sz="4" w:space="0" w:color="auto"/>
            </w:tcBorders>
            <w:shd w:val="clear" w:color="auto" w:fill="0E2841" w:themeFill="text2"/>
            <w:noWrap/>
            <w:vAlign w:val="center"/>
            <w:hideMark/>
          </w:tcPr>
          <w:p w14:paraId="165A25ED" w14:textId="77777777" w:rsidR="00444E55" w:rsidRPr="00444E55" w:rsidRDefault="00444E55" w:rsidP="00444E55">
            <w:pPr>
              <w:spacing w:after="0" w:line="240" w:lineRule="auto"/>
              <w:rPr>
                <w:rFonts w:ascii="Aptos Display" w:eastAsia="Times New Roman" w:hAnsi="Aptos Display" w:cs="Calibri"/>
                <w:b/>
                <w:bCs/>
                <w:color w:val="FFFFFF"/>
                <w:sz w:val="20"/>
                <w:szCs w:val="20"/>
                <w:lang w:val="en-US"/>
              </w:rPr>
            </w:pPr>
            <w:r w:rsidRPr="00444E55">
              <w:rPr>
                <w:rFonts w:ascii="Aptos Display" w:eastAsia="Times New Roman" w:hAnsi="Aptos Display" w:cs="Calibri"/>
                <w:b/>
                <w:bCs/>
                <w:color w:val="FFFFFF"/>
                <w:sz w:val="20"/>
                <w:szCs w:val="20"/>
                <w:lang w:val="en-US"/>
              </w:rPr>
              <w:t>Prosečan opšti učinak</w:t>
            </w:r>
          </w:p>
          <w:p w14:paraId="381A088C" w14:textId="46F09392" w:rsidR="00444E55" w:rsidRPr="00444E55" w:rsidRDefault="00444E55" w:rsidP="00444E55">
            <w:pPr>
              <w:spacing w:after="0" w:line="240" w:lineRule="auto"/>
              <w:rPr>
                <w:rFonts w:ascii="Aptos Display" w:eastAsia="Times New Roman" w:hAnsi="Aptos Display" w:cs="Calibri"/>
                <w:b/>
                <w:bCs/>
                <w:color w:val="FFFFFF"/>
                <w:sz w:val="20"/>
                <w:szCs w:val="20"/>
                <w:lang w:val="en-US"/>
              </w:rPr>
            </w:pPr>
            <w:r w:rsidRPr="00444E55">
              <w:rPr>
                <w:rFonts w:ascii="Aptos Display" w:eastAsia="Times New Roman" w:hAnsi="Aptos Display" w:cs="Calibri"/>
                <w:b/>
                <w:bCs/>
                <w:color w:val="FFFFFF"/>
                <w:sz w:val="20"/>
                <w:szCs w:val="20"/>
                <w:lang w:val="en-US"/>
              </w:rPr>
              <w:t> </w:t>
            </w:r>
          </w:p>
        </w:tc>
        <w:tc>
          <w:tcPr>
            <w:tcW w:w="1154" w:type="dxa"/>
            <w:tcBorders>
              <w:top w:val="nil"/>
              <w:left w:val="nil"/>
              <w:bottom w:val="single" w:sz="8" w:space="0" w:color="auto"/>
              <w:right w:val="single" w:sz="8" w:space="0" w:color="auto"/>
            </w:tcBorders>
            <w:shd w:val="clear" w:color="auto" w:fill="0E2841" w:themeFill="text2"/>
            <w:vAlign w:val="center"/>
            <w:hideMark/>
          </w:tcPr>
          <w:p w14:paraId="59C6A89E" w14:textId="77777777" w:rsidR="00444E55" w:rsidRPr="00444E55" w:rsidRDefault="00444E55" w:rsidP="00444E55">
            <w:pPr>
              <w:spacing w:after="0" w:line="240" w:lineRule="auto"/>
              <w:jc w:val="center"/>
              <w:rPr>
                <w:rFonts w:ascii="Aptos Display" w:eastAsia="Times New Roman" w:hAnsi="Aptos Display" w:cs="Calibri"/>
                <w:b/>
                <w:bCs/>
                <w:color w:val="FFFFFF"/>
                <w:sz w:val="20"/>
                <w:szCs w:val="20"/>
                <w:lang w:val="en-US"/>
              </w:rPr>
            </w:pPr>
            <w:r w:rsidRPr="00444E55">
              <w:rPr>
                <w:rFonts w:ascii="Aptos Display" w:eastAsia="Times New Roman" w:hAnsi="Aptos Display" w:cs="Calibri"/>
                <w:b/>
                <w:bCs/>
                <w:color w:val="FFFFFF"/>
                <w:sz w:val="20"/>
                <w:szCs w:val="20"/>
                <w:lang w:val="en-US"/>
              </w:rPr>
              <w:t>41.8%</w:t>
            </w:r>
          </w:p>
        </w:tc>
      </w:tr>
    </w:tbl>
    <w:p w14:paraId="012FD828" w14:textId="77777777" w:rsidR="00885931" w:rsidRPr="00885931" w:rsidRDefault="00885931" w:rsidP="00885931">
      <w:pPr>
        <w:rPr>
          <w:lang w:val="sr-Latn-RS"/>
        </w:rPr>
      </w:pPr>
    </w:p>
    <w:p w14:paraId="66589A0A" w14:textId="77777777" w:rsidR="0006116B" w:rsidRPr="00FF3BB3" w:rsidRDefault="0006116B" w:rsidP="00FF3BB3">
      <w:pPr>
        <w:spacing w:before="60" w:after="0" w:line="264" w:lineRule="auto"/>
        <w:contextualSpacing/>
        <w:jc w:val="both"/>
        <w:rPr>
          <w:kern w:val="2"/>
          <w:sz w:val="21"/>
          <w:szCs w:val="21"/>
          <w:lang w:val="sr-Latn-RS"/>
          <w14:ligatures w14:val="standardContextual"/>
        </w:rPr>
      </w:pPr>
    </w:p>
    <w:p w14:paraId="3CA2E90F" w14:textId="68EC21F5" w:rsidR="0006116B" w:rsidRPr="00FF3BB3" w:rsidRDefault="0006116B" w:rsidP="00FF3BB3">
      <w:pPr>
        <w:keepNext/>
        <w:tabs>
          <w:tab w:val="left" w:pos="540"/>
          <w:tab w:val="left" w:pos="5412"/>
        </w:tabs>
        <w:spacing w:after="0" w:line="240" w:lineRule="auto"/>
        <w:outlineLvl w:val="0"/>
        <w:rPr>
          <w:rFonts w:asciiTheme="majorHAnsi" w:eastAsiaTheme="majorEastAsia" w:hAnsiTheme="majorHAnsi" w:cstheme="majorHAnsi"/>
          <w:b/>
          <w:color w:val="CC9900"/>
          <w:sz w:val="28"/>
          <w:szCs w:val="28"/>
          <w:lang w:val="sr-Latn-RS"/>
        </w:rPr>
      </w:pPr>
      <w:bookmarkStart w:id="31" w:name="_Toc115186047"/>
      <w:bookmarkStart w:id="32" w:name="_Toc224550099"/>
      <w:r w:rsidRPr="00FF3BB3">
        <w:rPr>
          <w:rFonts w:asciiTheme="majorHAnsi" w:eastAsiaTheme="majorEastAsia" w:hAnsiTheme="majorHAnsi" w:cstheme="majorHAnsi"/>
          <w:b/>
          <w:color w:val="CC9900"/>
          <w:sz w:val="28"/>
          <w:szCs w:val="28"/>
          <w:lang w:val="sr-Latn-RS"/>
        </w:rPr>
        <w:t xml:space="preserve">2.2.3 </w:t>
      </w:r>
      <w:r w:rsidR="00312944">
        <w:rPr>
          <w:rFonts w:asciiTheme="majorHAnsi" w:eastAsiaTheme="majorEastAsia" w:hAnsiTheme="majorHAnsi" w:cstheme="majorHAnsi"/>
          <w:b/>
          <w:color w:val="CC9900"/>
          <w:sz w:val="28"/>
          <w:szCs w:val="28"/>
          <w:lang w:val="sr-Latn-RS"/>
        </w:rPr>
        <w:t>G</w:t>
      </w:r>
      <w:r w:rsidRPr="00FF3BB3">
        <w:rPr>
          <w:rFonts w:asciiTheme="majorHAnsi" w:eastAsiaTheme="majorEastAsia" w:hAnsiTheme="majorHAnsi" w:cstheme="majorHAnsi"/>
          <w:b/>
          <w:color w:val="CC9900"/>
          <w:sz w:val="28"/>
          <w:szCs w:val="28"/>
          <w:lang w:val="sr-Latn-RS"/>
        </w:rPr>
        <w:t xml:space="preserve">rant za </w:t>
      </w:r>
      <w:r w:rsidR="00312944">
        <w:rPr>
          <w:rFonts w:asciiTheme="majorHAnsi" w:eastAsiaTheme="majorEastAsia" w:hAnsiTheme="majorHAnsi" w:cstheme="majorHAnsi"/>
          <w:b/>
          <w:color w:val="CC9900"/>
          <w:sz w:val="28"/>
          <w:szCs w:val="28"/>
          <w:lang w:val="sr-Latn-RS"/>
        </w:rPr>
        <w:t xml:space="preserve">opštinski </w:t>
      </w:r>
      <w:r w:rsidRPr="00FF3BB3">
        <w:rPr>
          <w:rFonts w:asciiTheme="majorHAnsi" w:eastAsiaTheme="majorEastAsia" w:hAnsiTheme="majorHAnsi" w:cstheme="majorHAnsi"/>
          <w:b/>
          <w:color w:val="CC9900"/>
          <w:sz w:val="28"/>
          <w:szCs w:val="28"/>
          <w:lang w:val="sr-Latn-RS"/>
        </w:rPr>
        <w:t>učinak za 202</w:t>
      </w:r>
      <w:r w:rsidR="00444E55">
        <w:rPr>
          <w:rFonts w:asciiTheme="majorHAnsi" w:eastAsiaTheme="majorEastAsia" w:hAnsiTheme="majorHAnsi" w:cstheme="majorHAnsi"/>
          <w:b/>
          <w:color w:val="CC9900"/>
          <w:sz w:val="28"/>
          <w:szCs w:val="28"/>
          <w:lang w:val="sr-Latn-RS"/>
        </w:rPr>
        <w:t>6</w:t>
      </w:r>
      <w:r w:rsidRPr="00FF3BB3">
        <w:rPr>
          <w:rFonts w:asciiTheme="majorHAnsi" w:eastAsiaTheme="majorEastAsia" w:hAnsiTheme="majorHAnsi" w:cstheme="majorHAnsi"/>
          <w:b/>
          <w:color w:val="CC9900"/>
          <w:sz w:val="28"/>
          <w:szCs w:val="28"/>
          <w:lang w:val="sr-Latn-RS"/>
        </w:rPr>
        <w:t>. – iznosi granta</w:t>
      </w:r>
      <w:bookmarkEnd w:id="31"/>
      <w:bookmarkEnd w:id="32"/>
    </w:p>
    <w:p w14:paraId="50D3BFC9" w14:textId="1370CB62" w:rsidR="0006116B" w:rsidRPr="00FF3BB3" w:rsidRDefault="00312944" w:rsidP="00312944">
      <w:pPr>
        <w:spacing w:before="60" w:after="0" w:line="264" w:lineRule="auto"/>
        <w:contextualSpacing/>
        <w:jc w:val="both"/>
        <w:rPr>
          <w:kern w:val="2"/>
          <w:lang w:val="sr-Latn-RS"/>
          <w14:ligatures w14:val="standardContextual"/>
        </w:rPr>
      </w:pPr>
      <w:r>
        <w:rPr>
          <w:kern w:val="2"/>
          <w:lang w:val="sr-Latn-RS"/>
          <w14:ligatures w14:val="standardContextual"/>
        </w:rPr>
        <w:t xml:space="preserve">Na osnovu rezultata minimalnih uslova i </w:t>
      </w:r>
      <w:r w:rsidR="005A35F3">
        <w:rPr>
          <w:kern w:val="2"/>
          <w:lang w:val="sr-Latn-RS"/>
          <w14:ligatures w14:val="standardContextual"/>
        </w:rPr>
        <w:t>pokazatelj</w:t>
      </w:r>
      <w:r>
        <w:rPr>
          <w:kern w:val="2"/>
          <w:lang w:val="sr-Latn-RS"/>
          <w14:ligatures w14:val="standardContextual"/>
        </w:rPr>
        <w:t>a učinka</w:t>
      </w:r>
      <w:r w:rsidR="0006116B" w:rsidRPr="00FF3BB3">
        <w:rPr>
          <w:kern w:val="2"/>
          <w:lang w:val="sr-Latn-RS"/>
          <w14:ligatures w14:val="standardContextual"/>
        </w:rPr>
        <w:t xml:space="preserve">, </w:t>
      </w:r>
      <w:r>
        <w:rPr>
          <w:kern w:val="2"/>
          <w:lang w:val="sr-Latn-RS"/>
          <w14:ligatures w14:val="standardContextual"/>
        </w:rPr>
        <w:t xml:space="preserve">popunjena </w:t>
      </w:r>
      <w:r w:rsidR="0006116B" w:rsidRPr="00FF3BB3">
        <w:rPr>
          <w:kern w:val="2"/>
          <w:lang w:val="sr-Latn-RS"/>
          <w14:ligatures w14:val="standardContextual"/>
        </w:rPr>
        <w:t xml:space="preserve">je tabela </w:t>
      </w:r>
      <w:r>
        <w:rPr>
          <w:kern w:val="2"/>
          <w:lang w:val="sr-Latn-RS"/>
          <w14:ligatures w14:val="standardContextual"/>
        </w:rPr>
        <w:t>za raspodelu</w:t>
      </w:r>
      <w:r w:rsidR="0006116B" w:rsidRPr="00FF3BB3">
        <w:rPr>
          <w:kern w:val="2"/>
          <w:lang w:val="sr-Latn-RS"/>
          <w14:ligatures w14:val="standardContextual"/>
        </w:rPr>
        <w:t xml:space="preserve"> granta. Iznos </w:t>
      </w:r>
      <w:r>
        <w:rPr>
          <w:kern w:val="2"/>
          <w:lang w:val="sr-Latn-RS"/>
          <w14:ligatures w14:val="standardContextual"/>
        </w:rPr>
        <w:t xml:space="preserve">raspodele </w:t>
      </w:r>
      <w:r w:rsidR="0006116B" w:rsidRPr="00FF3BB3">
        <w:rPr>
          <w:kern w:val="2"/>
          <w:lang w:val="sr-Latn-RS"/>
          <w14:ligatures w14:val="standardContextual"/>
        </w:rPr>
        <w:t>granta za opštinski učinak određ</w:t>
      </w:r>
      <w:r>
        <w:rPr>
          <w:kern w:val="2"/>
          <w:lang w:val="sr-Latn-RS"/>
          <w14:ligatures w14:val="standardContextual"/>
        </w:rPr>
        <w:t xml:space="preserve">uje se prema </w:t>
      </w:r>
      <w:r w:rsidR="0006116B" w:rsidRPr="00FF3BB3">
        <w:rPr>
          <w:kern w:val="2"/>
          <w:lang w:val="sr-Latn-RS"/>
          <w14:ligatures w14:val="standardContextual"/>
        </w:rPr>
        <w:t>(i) relativnim učinkom svake opštine za 202</w:t>
      </w:r>
      <w:r w:rsidR="00444E55">
        <w:rPr>
          <w:kern w:val="2"/>
          <w:lang w:val="sr-Latn-RS"/>
          <w14:ligatures w14:val="standardContextual"/>
        </w:rPr>
        <w:t>4</w:t>
      </w:r>
      <w:r w:rsidR="0006116B" w:rsidRPr="00FF3BB3">
        <w:rPr>
          <w:kern w:val="2"/>
          <w:lang w:val="sr-Latn-RS"/>
          <w14:ligatures w14:val="standardContextual"/>
        </w:rPr>
        <w:t xml:space="preserve">. </w:t>
      </w:r>
      <w:r>
        <w:rPr>
          <w:kern w:val="2"/>
          <w:lang w:val="sr-Latn-RS"/>
          <w14:ligatures w14:val="standardContextual"/>
        </w:rPr>
        <w:t>godinu, iz</w:t>
      </w:r>
      <w:r w:rsidR="0006116B" w:rsidRPr="00FF3BB3">
        <w:rPr>
          <w:kern w:val="2"/>
          <w:lang w:val="sr-Latn-RS"/>
          <w14:ligatures w14:val="standardContextual"/>
        </w:rPr>
        <w:t xml:space="preserve">meren prema definisanim </w:t>
      </w:r>
      <w:r w:rsidR="005A35F3">
        <w:rPr>
          <w:kern w:val="2"/>
          <w:lang w:val="sr-Latn-RS"/>
          <w14:ligatures w14:val="standardContextual"/>
        </w:rPr>
        <w:t>pokazatelj</w:t>
      </w:r>
      <w:r w:rsidR="0006116B" w:rsidRPr="00FF3BB3">
        <w:rPr>
          <w:kern w:val="2"/>
          <w:lang w:val="sr-Latn-RS"/>
          <w14:ligatures w14:val="standardContextual"/>
        </w:rPr>
        <w:t>ima učinka i (</w:t>
      </w:r>
      <w:r>
        <w:rPr>
          <w:kern w:val="2"/>
          <w:lang w:val="sr-Latn-RS"/>
          <w14:ligatures w14:val="standardContextual"/>
        </w:rPr>
        <w:t>ii</w:t>
      </w:r>
      <w:r w:rsidR="0006116B" w:rsidRPr="00FF3BB3">
        <w:rPr>
          <w:kern w:val="2"/>
          <w:lang w:val="sr-Latn-RS"/>
          <w14:ligatures w14:val="standardContextual"/>
        </w:rPr>
        <w:t>) težin</w:t>
      </w:r>
      <w:r>
        <w:rPr>
          <w:kern w:val="2"/>
          <w:lang w:val="sr-Latn-RS"/>
          <w14:ligatures w14:val="standardContextual"/>
        </w:rPr>
        <w:t>i</w:t>
      </w:r>
      <w:r w:rsidR="0006116B" w:rsidRPr="00FF3BB3">
        <w:rPr>
          <w:kern w:val="2"/>
          <w:lang w:val="sr-Latn-RS"/>
          <w14:ligatures w14:val="standardContextual"/>
        </w:rPr>
        <w:t xml:space="preserve"> granta za opštinski učinak u ukupnom grantu dodeljenom za 202</w:t>
      </w:r>
      <w:r w:rsidR="00444E55">
        <w:rPr>
          <w:kern w:val="2"/>
          <w:lang w:val="sr-Latn-RS"/>
          <w14:ligatures w14:val="standardContextual"/>
        </w:rPr>
        <w:t>6</w:t>
      </w:r>
      <w:r w:rsidR="0006116B" w:rsidRPr="00FF3BB3">
        <w:rPr>
          <w:kern w:val="2"/>
          <w:lang w:val="sr-Latn-RS"/>
          <w14:ligatures w14:val="standardContextual"/>
        </w:rPr>
        <w:t>.</w:t>
      </w:r>
      <w:r>
        <w:rPr>
          <w:kern w:val="2"/>
          <w:lang w:val="sr-Latn-RS"/>
          <w14:ligatures w14:val="standardContextual"/>
        </w:rPr>
        <w:t xml:space="preserve"> </w:t>
      </w:r>
      <w:r w:rsidRPr="00FF3BB3">
        <w:rPr>
          <w:kern w:val="2"/>
          <w:lang w:val="sr-Latn-RS"/>
          <w14:ligatures w14:val="standardContextual"/>
        </w:rPr>
        <w:t>godinu</w:t>
      </w:r>
      <w:r>
        <w:rPr>
          <w:kern w:val="2"/>
          <w:lang w:val="sr-Latn-RS"/>
          <w14:ligatures w14:val="standardContextual"/>
        </w:rPr>
        <w:t>.</w:t>
      </w:r>
    </w:p>
    <w:p w14:paraId="67EE0719" w14:textId="77777777" w:rsidR="0006116B" w:rsidRPr="00FF3BB3" w:rsidRDefault="0006116B" w:rsidP="00FF3BB3">
      <w:pPr>
        <w:spacing w:after="0" w:line="240" w:lineRule="auto"/>
        <w:rPr>
          <w:rFonts w:ascii="Univers Light" w:eastAsia="Aptos" w:hAnsi="Univers Light" w:cs="Aptos"/>
          <w:sz w:val="20"/>
          <w:szCs w:val="20"/>
          <w:lang w:val="sr-Latn-RS" w:eastAsia="sq-AL"/>
        </w:rPr>
      </w:pPr>
    </w:p>
    <w:p w14:paraId="5901FB85" w14:textId="684A6700" w:rsidR="00A40AE4" w:rsidRPr="00A40AE4" w:rsidRDefault="00FB2AC6" w:rsidP="00A40AE4">
      <w:r w:rsidRPr="00FB2AC6">
        <w:rPr>
          <w:noProof/>
          <w:lang w:val="en-GB" w:eastAsia="en-GB"/>
        </w:rPr>
        <w:drawing>
          <wp:inline distT="0" distB="0" distL="0" distR="0" wp14:anchorId="05C36233" wp14:editId="596F88A1">
            <wp:extent cx="6106795" cy="3670731"/>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6795" cy="3670731"/>
                    </a:xfrm>
                    <a:prstGeom prst="rect">
                      <a:avLst/>
                    </a:prstGeom>
                    <a:noFill/>
                    <a:ln>
                      <a:noFill/>
                    </a:ln>
                  </pic:spPr>
                </pic:pic>
              </a:graphicData>
            </a:graphic>
          </wp:inline>
        </w:drawing>
      </w:r>
    </w:p>
    <w:p w14:paraId="796AB1A3" w14:textId="2A0D8CD6" w:rsidR="0006116B" w:rsidRDefault="0006116B" w:rsidP="00FF3BB3">
      <w:pPr>
        <w:spacing w:after="0" w:line="240" w:lineRule="auto"/>
        <w:rPr>
          <w:rFonts w:ascii="Univers Light" w:eastAsia="Aptos" w:hAnsi="Univers Light" w:cs="Aptos"/>
          <w:sz w:val="20"/>
          <w:szCs w:val="20"/>
          <w:lang w:val="sr-Latn-RS" w:eastAsia="sq-AL"/>
        </w:rPr>
      </w:pPr>
    </w:p>
    <w:p w14:paraId="64E0A496" w14:textId="62163AD1" w:rsidR="00D27F92" w:rsidRDefault="00D27F92" w:rsidP="00FF3BB3">
      <w:pPr>
        <w:spacing w:after="0" w:line="240" w:lineRule="auto"/>
        <w:rPr>
          <w:rFonts w:ascii="Univers Light" w:eastAsia="Aptos" w:hAnsi="Univers Light" w:cs="Aptos"/>
          <w:sz w:val="20"/>
          <w:szCs w:val="20"/>
          <w:lang w:val="sr-Latn-RS" w:eastAsia="sq-AL"/>
        </w:rPr>
      </w:pPr>
    </w:p>
    <w:p w14:paraId="09DB5106" w14:textId="37DF148A" w:rsidR="00D27F92" w:rsidRDefault="00D27F92" w:rsidP="00FF3BB3">
      <w:pPr>
        <w:spacing w:after="0" w:line="240" w:lineRule="auto"/>
        <w:rPr>
          <w:rFonts w:ascii="Univers Light" w:eastAsia="Aptos" w:hAnsi="Univers Light" w:cs="Aptos"/>
          <w:sz w:val="20"/>
          <w:szCs w:val="20"/>
          <w:lang w:val="sr-Latn-RS" w:eastAsia="sq-AL"/>
        </w:rPr>
      </w:pPr>
    </w:p>
    <w:p w14:paraId="0423CD8D" w14:textId="71B853DE" w:rsidR="00D27F92" w:rsidRDefault="00D27F92" w:rsidP="00FF3BB3">
      <w:pPr>
        <w:spacing w:after="0" w:line="240" w:lineRule="auto"/>
        <w:rPr>
          <w:rFonts w:ascii="Univers Light" w:eastAsia="Aptos" w:hAnsi="Univers Light" w:cs="Aptos"/>
          <w:sz w:val="20"/>
          <w:szCs w:val="20"/>
          <w:lang w:val="sr-Latn-RS" w:eastAsia="sq-AL"/>
        </w:rPr>
      </w:pPr>
    </w:p>
    <w:p w14:paraId="47766E79" w14:textId="2C6971BD" w:rsidR="00D27F92" w:rsidRDefault="00D27F92" w:rsidP="00FF3BB3">
      <w:pPr>
        <w:spacing w:after="0" w:line="240" w:lineRule="auto"/>
        <w:rPr>
          <w:rFonts w:ascii="Univers Light" w:eastAsia="Aptos" w:hAnsi="Univers Light" w:cs="Aptos"/>
          <w:sz w:val="20"/>
          <w:szCs w:val="20"/>
          <w:lang w:val="sr-Latn-RS" w:eastAsia="sq-AL"/>
        </w:rPr>
      </w:pPr>
    </w:p>
    <w:p w14:paraId="643D23FE" w14:textId="523D70E8" w:rsidR="00D27F92" w:rsidRDefault="00D27F92" w:rsidP="00FF3BB3">
      <w:pPr>
        <w:spacing w:after="0" w:line="240" w:lineRule="auto"/>
        <w:rPr>
          <w:rFonts w:ascii="Univers Light" w:eastAsia="Aptos" w:hAnsi="Univers Light" w:cs="Aptos"/>
          <w:sz w:val="20"/>
          <w:szCs w:val="20"/>
          <w:lang w:val="sr-Latn-RS" w:eastAsia="sq-AL"/>
        </w:rPr>
      </w:pPr>
    </w:p>
    <w:p w14:paraId="1A214D4D" w14:textId="4F928468" w:rsidR="00D27F92" w:rsidRDefault="00D27F92" w:rsidP="00FF3BB3">
      <w:pPr>
        <w:spacing w:after="0" w:line="240" w:lineRule="auto"/>
        <w:rPr>
          <w:rFonts w:ascii="Univers Light" w:eastAsia="Aptos" w:hAnsi="Univers Light" w:cs="Aptos"/>
          <w:sz w:val="20"/>
          <w:szCs w:val="20"/>
          <w:lang w:val="sr-Latn-RS" w:eastAsia="sq-AL"/>
        </w:rPr>
      </w:pPr>
    </w:p>
    <w:p w14:paraId="42EE7C32" w14:textId="77777777" w:rsidR="00D27F92" w:rsidRPr="00FF3BB3" w:rsidRDefault="00D27F92" w:rsidP="00FF3BB3">
      <w:pPr>
        <w:spacing w:after="0" w:line="240" w:lineRule="auto"/>
        <w:rPr>
          <w:rFonts w:ascii="Univers Light" w:eastAsia="Aptos" w:hAnsi="Univers Light" w:cs="Aptos"/>
          <w:sz w:val="20"/>
          <w:szCs w:val="20"/>
          <w:lang w:val="sr-Latn-RS" w:eastAsia="sq-AL"/>
        </w:rPr>
      </w:pPr>
    </w:p>
    <w:p w14:paraId="4895C14A" w14:textId="77777777" w:rsidR="0006116B" w:rsidRPr="00FF3BB3" w:rsidRDefault="0006116B" w:rsidP="00FF3BB3">
      <w:pPr>
        <w:keepNext/>
        <w:shd w:val="clear" w:color="auto" w:fill="215E99" w:themeFill="text2" w:themeFillTint="BF"/>
        <w:tabs>
          <w:tab w:val="left" w:pos="540"/>
        </w:tabs>
        <w:spacing w:after="0" w:line="240" w:lineRule="auto"/>
        <w:outlineLvl w:val="0"/>
        <w:rPr>
          <w:rFonts w:asciiTheme="majorHAnsi" w:eastAsiaTheme="majorEastAsia" w:hAnsiTheme="majorHAnsi" w:cstheme="majorHAnsi"/>
          <w:b/>
          <w:color w:val="2C7FCE" w:themeColor="text2" w:themeTint="99"/>
          <w:sz w:val="24"/>
          <w:szCs w:val="24"/>
          <w:lang w:val="sr-Latn-RS"/>
        </w:rPr>
      </w:pPr>
      <w:bookmarkStart w:id="33" w:name="_Toc224550100"/>
      <w:r w:rsidRPr="00FF3BB3">
        <w:rPr>
          <w:rFonts w:asciiTheme="majorHAnsi" w:eastAsiaTheme="majorEastAsia" w:hAnsiTheme="majorHAnsi" w:cstheme="majorHAnsi"/>
          <w:b/>
          <w:color w:val="FFFFFF" w:themeColor="background1"/>
          <w:sz w:val="24"/>
          <w:szCs w:val="24"/>
          <w:lang w:val="sr-Latn-RS"/>
        </w:rPr>
        <w:t>Prilog 1. Procena minimalnih uslova</w:t>
      </w:r>
      <w:bookmarkEnd w:id="33"/>
    </w:p>
    <w:p w14:paraId="46795480" w14:textId="4887960F" w:rsidR="00D27F92" w:rsidRDefault="00FC70F7" w:rsidP="00FF3BB3">
      <w:r w:rsidRPr="00FC70F7">
        <w:t xml:space="preserve"> </w:t>
      </w:r>
    </w:p>
    <w:p w14:paraId="14948635" w14:textId="50F823FB" w:rsidR="00D27F92" w:rsidRDefault="00D27F92" w:rsidP="00FF3BB3">
      <w:r w:rsidRPr="00D27F92">
        <w:rPr>
          <w:noProof/>
          <w:lang w:val="en-GB" w:eastAsia="en-GB"/>
        </w:rPr>
        <w:drawing>
          <wp:inline distT="0" distB="0" distL="0" distR="0" wp14:anchorId="766C0769" wp14:editId="48A982D9">
            <wp:extent cx="6106795" cy="602615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6795" cy="6026150"/>
                    </a:xfrm>
                    <a:prstGeom prst="rect">
                      <a:avLst/>
                    </a:prstGeom>
                    <a:noFill/>
                    <a:ln>
                      <a:noFill/>
                    </a:ln>
                  </pic:spPr>
                </pic:pic>
              </a:graphicData>
            </a:graphic>
          </wp:inline>
        </w:drawing>
      </w:r>
    </w:p>
    <w:p w14:paraId="34252241" w14:textId="37AB7A82" w:rsidR="0006116B" w:rsidRPr="00FF3BB3" w:rsidRDefault="0006116B" w:rsidP="00FF3BB3">
      <w:pPr>
        <w:rPr>
          <w:rFonts w:asciiTheme="majorHAnsi" w:hAnsiTheme="majorHAnsi" w:cstheme="majorHAnsi"/>
          <w:lang w:val="sr-Latn-RS"/>
        </w:rPr>
      </w:pPr>
      <w:r w:rsidRPr="00FF3BB3">
        <w:rPr>
          <w:rFonts w:asciiTheme="majorHAnsi" w:hAnsiTheme="majorHAnsi" w:cstheme="majorHAnsi"/>
          <w:lang w:val="sr-Latn-RS"/>
        </w:rPr>
        <w:br w:type="page"/>
      </w:r>
    </w:p>
    <w:p w14:paraId="03723E2C" w14:textId="2C7D2837" w:rsidR="0006116B" w:rsidRDefault="00C81EB2" w:rsidP="00651B7D">
      <w:pPr>
        <w:keepNext/>
        <w:shd w:val="clear" w:color="auto" w:fill="215E99" w:themeFill="text2" w:themeFillTint="BF"/>
        <w:tabs>
          <w:tab w:val="left" w:pos="540"/>
        </w:tabs>
        <w:spacing w:after="0" w:line="240" w:lineRule="auto"/>
        <w:outlineLvl w:val="0"/>
        <w:rPr>
          <w:rFonts w:asciiTheme="majorHAnsi" w:eastAsiaTheme="majorEastAsia" w:hAnsiTheme="majorHAnsi" w:cstheme="majorHAnsi"/>
          <w:b/>
          <w:color w:val="FFFFFF" w:themeColor="background1"/>
          <w:sz w:val="24"/>
          <w:szCs w:val="24"/>
          <w:lang w:val="sr-Latn-RS"/>
        </w:rPr>
      </w:pPr>
      <w:bookmarkStart w:id="34" w:name="_Toc224550101"/>
      <w:r>
        <w:rPr>
          <w:rFonts w:asciiTheme="majorHAnsi" w:eastAsiaTheme="majorEastAsia" w:hAnsiTheme="majorHAnsi" w:cstheme="majorHAnsi"/>
          <w:b/>
          <w:color w:val="FFFFFF" w:themeColor="background1"/>
          <w:sz w:val="24"/>
          <w:szCs w:val="24"/>
          <w:lang w:val="sr-Latn-RS"/>
        </w:rPr>
        <w:lastRenderedPageBreak/>
        <w:t>Prilog</w:t>
      </w:r>
      <w:r w:rsidR="0006116B" w:rsidRPr="00FF3BB3">
        <w:rPr>
          <w:rFonts w:asciiTheme="majorHAnsi" w:eastAsiaTheme="majorEastAsia" w:hAnsiTheme="majorHAnsi" w:cstheme="majorHAnsi"/>
          <w:b/>
          <w:color w:val="FFFFFF" w:themeColor="background1"/>
          <w:sz w:val="24"/>
          <w:szCs w:val="24"/>
          <w:lang w:val="sr-Latn-RS"/>
        </w:rPr>
        <w:t xml:space="preserve"> 2</w:t>
      </w:r>
      <w:r>
        <w:rPr>
          <w:rFonts w:asciiTheme="majorHAnsi" w:eastAsiaTheme="majorEastAsia" w:hAnsiTheme="majorHAnsi" w:cstheme="majorHAnsi"/>
          <w:b/>
          <w:color w:val="FFFFFF" w:themeColor="background1"/>
          <w:sz w:val="24"/>
          <w:szCs w:val="24"/>
          <w:lang w:val="sr-Latn-RS"/>
        </w:rPr>
        <w:t>.</w:t>
      </w:r>
      <w:r w:rsidR="0006116B" w:rsidRPr="00FF3BB3">
        <w:rPr>
          <w:rFonts w:asciiTheme="majorHAnsi" w:eastAsiaTheme="majorEastAsia" w:hAnsiTheme="majorHAnsi" w:cstheme="majorHAnsi"/>
          <w:b/>
          <w:color w:val="FFFFFF" w:themeColor="background1"/>
          <w:sz w:val="24"/>
          <w:szCs w:val="24"/>
          <w:lang w:val="sr-Latn-RS"/>
        </w:rPr>
        <w:t xml:space="preserve"> </w:t>
      </w:r>
      <w:r>
        <w:rPr>
          <w:rFonts w:asciiTheme="majorHAnsi" w:eastAsiaTheme="majorEastAsia" w:hAnsiTheme="majorHAnsi" w:cstheme="majorHAnsi"/>
          <w:b/>
          <w:color w:val="FFFFFF" w:themeColor="background1"/>
          <w:sz w:val="24"/>
          <w:szCs w:val="24"/>
          <w:lang w:val="sr-Latn-RS"/>
        </w:rPr>
        <w:t xml:space="preserve">Procena </w:t>
      </w:r>
      <w:r w:rsidR="005A35F3">
        <w:rPr>
          <w:rFonts w:asciiTheme="majorHAnsi" w:eastAsiaTheme="majorEastAsia" w:hAnsiTheme="majorHAnsi" w:cstheme="majorHAnsi"/>
          <w:b/>
          <w:color w:val="FFFFFF" w:themeColor="background1"/>
          <w:sz w:val="24"/>
          <w:szCs w:val="24"/>
          <w:lang w:val="sr-Latn-RS"/>
        </w:rPr>
        <w:t>pokazatelj</w:t>
      </w:r>
      <w:r w:rsidR="0006116B" w:rsidRPr="00FF3BB3">
        <w:rPr>
          <w:rFonts w:asciiTheme="majorHAnsi" w:eastAsiaTheme="majorEastAsia" w:hAnsiTheme="majorHAnsi" w:cstheme="majorHAnsi"/>
          <w:b/>
          <w:color w:val="FFFFFF" w:themeColor="background1"/>
          <w:sz w:val="24"/>
          <w:szCs w:val="24"/>
          <w:lang w:val="sr-Latn-RS"/>
        </w:rPr>
        <w:t>a</w:t>
      </w:r>
      <w:r>
        <w:rPr>
          <w:rFonts w:asciiTheme="majorHAnsi" w:eastAsiaTheme="majorEastAsia" w:hAnsiTheme="majorHAnsi" w:cstheme="majorHAnsi"/>
          <w:b/>
          <w:color w:val="FFFFFF" w:themeColor="background1"/>
          <w:sz w:val="24"/>
          <w:szCs w:val="24"/>
          <w:lang w:val="sr-Latn-RS"/>
        </w:rPr>
        <w:t xml:space="preserve"> GOU-a</w:t>
      </w:r>
      <w:r w:rsidR="0006116B" w:rsidRPr="00FF3BB3">
        <w:rPr>
          <w:rFonts w:asciiTheme="majorHAnsi" w:eastAsiaTheme="majorEastAsia" w:hAnsiTheme="majorHAnsi" w:cstheme="majorHAnsi"/>
          <w:b/>
          <w:color w:val="FFFFFF" w:themeColor="background1"/>
          <w:sz w:val="24"/>
          <w:szCs w:val="24"/>
          <w:lang w:val="sr-Latn-RS"/>
        </w:rPr>
        <w:t xml:space="preserve">, prema </w:t>
      </w:r>
      <w:r>
        <w:rPr>
          <w:rFonts w:asciiTheme="majorHAnsi" w:eastAsiaTheme="majorEastAsia" w:hAnsiTheme="majorHAnsi" w:cstheme="majorHAnsi"/>
          <w:b/>
          <w:color w:val="FFFFFF" w:themeColor="background1"/>
          <w:sz w:val="24"/>
          <w:szCs w:val="24"/>
          <w:lang w:val="sr-Latn-RS"/>
        </w:rPr>
        <w:t>oblastima</w:t>
      </w:r>
      <w:r w:rsidR="0006116B" w:rsidRPr="00FF3BB3">
        <w:rPr>
          <w:rFonts w:asciiTheme="majorHAnsi" w:eastAsiaTheme="majorEastAsia" w:hAnsiTheme="majorHAnsi" w:cstheme="majorHAnsi"/>
          <w:b/>
          <w:color w:val="FFFFFF" w:themeColor="background1"/>
          <w:sz w:val="24"/>
          <w:szCs w:val="24"/>
          <w:lang w:val="sr-Latn-RS"/>
        </w:rPr>
        <w:t>, po</w:t>
      </w:r>
      <w:r>
        <w:rPr>
          <w:rFonts w:asciiTheme="majorHAnsi" w:eastAsiaTheme="majorEastAsia" w:hAnsiTheme="majorHAnsi" w:cstheme="majorHAnsi"/>
          <w:b/>
          <w:color w:val="FFFFFF" w:themeColor="background1"/>
          <w:sz w:val="24"/>
          <w:szCs w:val="24"/>
          <w:lang w:val="sr-Latn-RS"/>
        </w:rPr>
        <w:t>d-oblastima</w:t>
      </w:r>
      <w:r w:rsidR="0006116B" w:rsidRPr="00FF3BB3">
        <w:rPr>
          <w:rFonts w:asciiTheme="majorHAnsi" w:eastAsiaTheme="majorEastAsia" w:hAnsiTheme="majorHAnsi" w:cstheme="majorHAnsi"/>
          <w:b/>
          <w:color w:val="FFFFFF" w:themeColor="background1"/>
          <w:sz w:val="24"/>
          <w:szCs w:val="24"/>
          <w:lang w:val="sr-Latn-RS"/>
        </w:rPr>
        <w:t xml:space="preserve">, </w:t>
      </w:r>
      <w:r w:rsidR="005A35F3">
        <w:rPr>
          <w:rFonts w:asciiTheme="majorHAnsi" w:eastAsiaTheme="majorEastAsia" w:hAnsiTheme="majorHAnsi" w:cstheme="majorHAnsi"/>
          <w:b/>
          <w:color w:val="FFFFFF" w:themeColor="background1"/>
          <w:sz w:val="24"/>
          <w:szCs w:val="24"/>
          <w:lang w:val="sr-Latn-RS"/>
        </w:rPr>
        <w:t>pokazatelj</w:t>
      </w:r>
      <w:r w:rsidR="0006116B" w:rsidRPr="00FF3BB3">
        <w:rPr>
          <w:rFonts w:asciiTheme="majorHAnsi" w:eastAsiaTheme="majorEastAsia" w:hAnsiTheme="majorHAnsi" w:cstheme="majorHAnsi"/>
          <w:b/>
          <w:color w:val="FFFFFF" w:themeColor="background1"/>
          <w:sz w:val="24"/>
          <w:szCs w:val="24"/>
          <w:lang w:val="sr-Latn-RS"/>
        </w:rPr>
        <w:t>ima</w:t>
      </w:r>
      <w:bookmarkEnd w:id="34"/>
    </w:p>
    <w:p w14:paraId="587C8D89" w14:textId="77777777" w:rsidR="00D27F92" w:rsidRPr="00651B7D" w:rsidRDefault="00D27F92" w:rsidP="00651B7D">
      <w:pPr>
        <w:keepNext/>
        <w:shd w:val="clear" w:color="auto" w:fill="215E99" w:themeFill="text2" w:themeFillTint="BF"/>
        <w:tabs>
          <w:tab w:val="left" w:pos="540"/>
        </w:tabs>
        <w:spacing w:after="0" w:line="240" w:lineRule="auto"/>
        <w:outlineLvl w:val="0"/>
        <w:rPr>
          <w:rFonts w:ascii="Segoe UI Symbol" w:eastAsiaTheme="majorEastAsia" w:hAnsi="Segoe UI Symbol" w:cstheme="majorHAnsi"/>
          <w:b/>
          <w:color w:val="2C7FCE" w:themeColor="text2" w:themeTint="99"/>
          <w:sz w:val="24"/>
          <w:szCs w:val="24"/>
          <w:lang w:val="sr-Latn-RS" w:eastAsia="ja-JP"/>
        </w:rPr>
      </w:pPr>
    </w:p>
    <w:p w14:paraId="6799EA12" w14:textId="294A3762" w:rsidR="00594AFA" w:rsidRDefault="00651B7D" w:rsidP="00FF3BB3">
      <w:r w:rsidRPr="00651B7D">
        <w:t xml:space="preserve"> </w:t>
      </w:r>
    </w:p>
    <w:p w14:paraId="297FE9A2" w14:textId="3C037E3D" w:rsidR="00594AFA" w:rsidRDefault="002B118A" w:rsidP="00FF3BB3">
      <w:r w:rsidRPr="002B118A">
        <w:rPr>
          <w:noProof/>
          <w:lang w:val="en-GB" w:eastAsia="en-GB"/>
        </w:rPr>
        <w:drawing>
          <wp:inline distT="0" distB="0" distL="0" distR="0" wp14:anchorId="21C2EBC3" wp14:editId="5202444F">
            <wp:extent cx="5581650" cy="7286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7286625"/>
                    </a:xfrm>
                    <a:prstGeom prst="rect">
                      <a:avLst/>
                    </a:prstGeom>
                    <a:noFill/>
                    <a:ln>
                      <a:noFill/>
                    </a:ln>
                  </pic:spPr>
                </pic:pic>
              </a:graphicData>
            </a:graphic>
          </wp:inline>
        </w:drawing>
      </w:r>
    </w:p>
    <w:p w14:paraId="6B063FB8" w14:textId="31CC25A7" w:rsidR="002B118A" w:rsidRDefault="002B118A" w:rsidP="00FF3BB3">
      <w:r w:rsidRPr="002B118A">
        <w:rPr>
          <w:noProof/>
          <w:lang w:val="en-GB" w:eastAsia="en-GB"/>
        </w:rPr>
        <w:lastRenderedPageBreak/>
        <w:drawing>
          <wp:inline distT="0" distB="0" distL="0" distR="0" wp14:anchorId="7E91402C" wp14:editId="6F537F47">
            <wp:extent cx="6267450" cy="5010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7450" cy="5010150"/>
                    </a:xfrm>
                    <a:prstGeom prst="rect">
                      <a:avLst/>
                    </a:prstGeom>
                    <a:noFill/>
                    <a:ln>
                      <a:noFill/>
                    </a:ln>
                  </pic:spPr>
                </pic:pic>
              </a:graphicData>
            </a:graphic>
          </wp:inline>
        </w:drawing>
      </w:r>
    </w:p>
    <w:p w14:paraId="53B4C18B" w14:textId="1F0F1309" w:rsidR="00594AFA" w:rsidRDefault="00594AFA" w:rsidP="00FF3BB3"/>
    <w:p w14:paraId="50C7DFC5" w14:textId="7473AAEC" w:rsidR="0006116B" w:rsidRDefault="0006116B" w:rsidP="00FF3BB3">
      <w:pPr>
        <w:rPr>
          <w:rFonts w:asciiTheme="majorHAnsi" w:hAnsiTheme="majorHAnsi" w:cstheme="majorHAnsi"/>
          <w:lang w:val="sr-Latn-RS"/>
        </w:rPr>
      </w:pPr>
      <w:r w:rsidRPr="00FF3BB3">
        <w:rPr>
          <w:rFonts w:asciiTheme="majorHAnsi" w:hAnsiTheme="majorHAnsi" w:cstheme="majorHAnsi"/>
          <w:lang w:val="sr-Latn-RS"/>
        </w:rPr>
        <w:br w:type="page"/>
      </w:r>
      <w:r w:rsidR="002B118A" w:rsidRPr="002B118A">
        <w:rPr>
          <w:noProof/>
          <w:lang w:val="en-GB" w:eastAsia="en-GB"/>
        </w:rPr>
        <w:lastRenderedPageBreak/>
        <w:drawing>
          <wp:inline distT="0" distB="0" distL="0" distR="0" wp14:anchorId="54FDDB40" wp14:editId="0B0F5183">
            <wp:extent cx="6106795" cy="5028565"/>
            <wp:effectExtent l="0" t="0" r="825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06795" cy="5028565"/>
                    </a:xfrm>
                    <a:prstGeom prst="rect">
                      <a:avLst/>
                    </a:prstGeom>
                    <a:noFill/>
                    <a:ln>
                      <a:noFill/>
                    </a:ln>
                  </pic:spPr>
                </pic:pic>
              </a:graphicData>
            </a:graphic>
          </wp:inline>
        </w:drawing>
      </w:r>
    </w:p>
    <w:p w14:paraId="3028BDC8" w14:textId="77777777" w:rsidR="003760B7" w:rsidRPr="00FF3BB3" w:rsidRDefault="003760B7" w:rsidP="00FF3BB3">
      <w:pPr>
        <w:rPr>
          <w:rFonts w:asciiTheme="majorHAnsi" w:hAnsiTheme="majorHAnsi" w:cstheme="majorHAnsi"/>
          <w:lang w:val="sr-Latn-RS"/>
        </w:rPr>
      </w:pPr>
    </w:p>
    <w:p w14:paraId="1DCB974E" w14:textId="10E1DA4E" w:rsidR="0006116B" w:rsidRDefault="002B118A" w:rsidP="00FF3BB3">
      <w:pPr>
        <w:rPr>
          <w:rFonts w:asciiTheme="majorHAnsi" w:hAnsiTheme="majorHAnsi" w:cstheme="majorHAnsi"/>
          <w:lang w:val="sr-Latn-RS"/>
        </w:rPr>
      </w:pPr>
      <w:r w:rsidRPr="002B118A">
        <w:rPr>
          <w:noProof/>
          <w:lang w:val="en-GB" w:eastAsia="en-GB"/>
        </w:rPr>
        <w:lastRenderedPageBreak/>
        <w:drawing>
          <wp:inline distT="0" distB="0" distL="0" distR="0" wp14:anchorId="3A41E1ED" wp14:editId="5BA74C53">
            <wp:extent cx="6106795" cy="4417060"/>
            <wp:effectExtent l="0" t="0" r="825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6795" cy="4417060"/>
                    </a:xfrm>
                    <a:prstGeom prst="rect">
                      <a:avLst/>
                    </a:prstGeom>
                    <a:noFill/>
                    <a:ln>
                      <a:noFill/>
                    </a:ln>
                  </pic:spPr>
                </pic:pic>
              </a:graphicData>
            </a:graphic>
          </wp:inline>
        </w:drawing>
      </w:r>
    </w:p>
    <w:p w14:paraId="69A1A7DC" w14:textId="77777777" w:rsidR="00F42146" w:rsidRDefault="00F42146" w:rsidP="00FF3BB3">
      <w:pPr>
        <w:rPr>
          <w:rFonts w:asciiTheme="majorHAnsi" w:hAnsiTheme="majorHAnsi" w:cstheme="majorHAnsi"/>
          <w:lang w:val="sr-Latn-RS"/>
        </w:rPr>
      </w:pPr>
    </w:p>
    <w:p w14:paraId="2D56251C" w14:textId="77777777" w:rsidR="00F42146" w:rsidRDefault="00F42146" w:rsidP="00FF3BB3">
      <w:pPr>
        <w:rPr>
          <w:rFonts w:asciiTheme="majorHAnsi" w:hAnsiTheme="majorHAnsi" w:cstheme="majorHAnsi"/>
          <w:lang w:val="sr-Latn-RS"/>
        </w:rPr>
      </w:pPr>
    </w:p>
    <w:p w14:paraId="44B5B0DE" w14:textId="77777777" w:rsidR="00F42146" w:rsidRDefault="00F42146" w:rsidP="00FF3BB3">
      <w:pPr>
        <w:rPr>
          <w:rFonts w:asciiTheme="majorHAnsi" w:hAnsiTheme="majorHAnsi" w:cstheme="majorHAnsi"/>
          <w:lang w:val="sr-Latn-RS"/>
        </w:rPr>
      </w:pPr>
    </w:p>
    <w:p w14:paraId="366D7FCB" w14:textId="77777777" w:rsidR="00F42146" w:rsidRDefault="00F42146" w:rsidP="00FF3BB3">
      <w:pPr>
        <w:rPr>
          <w:rFonts w:asciiTheme="majorHAnsi" w:hAnsiTheme="majorHAnsi" w:cstheme="majorHAnsi"/>
          <w:lang w:val="sr-Latn-RS"/>
        </w:rPr>
      </w:pPr>
    </w:p>
    <w:p w14:paraId="38E39F07" w14:textId="77777777" w:rsidR="00F42146" w:rsidRDefault="00F42146" w:rsidP="00FF3BB3">
      <w:pPr>
        <w:rPr>
          <w:rFonts w:asciiTheme="majorHAnsi" w:hAnsiTheme="majorHAnsi" w:cstheme="majorHAnsi"/>
          <w:lang w:val="sr-Latn-RS"/>
        </w:rPr>
      </w:pPr>
    </w:p>
    <w:p w14:paraId="5778257F" w14:textId="77777777" w:rsidR="00F42146" w:rsidRDefault="00F42146" w:rsidP="00FF3BB3">
      <w:pPr>
        <w:rPr>
          <w:rFonts w:asciiTheme="majorHAnsi" w:hAnsiTheme="majorHAnsi" w:cstheme="majorHAnsi"/>
          <w:lang w:val="sr-Latn-RS"/>
        </w:rPr>
      </w:pPr>
    </w:p>
    <w:p w14:paraId="2ECCFBBB" w14:textId="77777777" w:rsidR="00F42146" w:rsidRDefault="00F42146" w:rsidP="00FF3BB3">
      <w:pPr>
        <w:rPr>
          <w:rFonts w:asciiTheme="majorHAnsi" w:hAnsiTheme="majorHAnsi" w:cstheme="majorHAnsi"/>
          <w:lang w:val="sr-Latn-RS"/>
        </w:rPr>
      </w:pPr>
    </w:p>
    <w:p w14:paraId="1EE074D7" w14:textId="363F0291" w:rsidR="00F42146" w:rsidRPr="00FF3BB3" w:rsidRDefault="00F42146" w:rsidP="00FF3BB3">
      <w:pPr>
        <w:rPr>
          <w:rFonts w:asciiTheme="majorHAnsi" w:hAnsiTheme="majorHAnsi" w:cstheme="majorHAnsi"/>
          <w:lang w:val="sr-Latn-RS"/>
        </w:rPr>
        <w:sectPr w:rsidR="00F42146" w:rsidRPr="00FF3BB3" w:rsidSect="00CC1070">
          <w:footerReference w:type="default" r:id="rId34"/>
          <w:pgSz w:w="12240" w:h="15840"/>
          <w:pgMar w:top="1440" w:right="1183" w:bottom="1440" w:left="1440" w:header="720" w:footer="720" w:gutter="0"/>
          <w:cols w:space="720"/>
          <w:docGrid w:linePitch="360"/>
        </w:sectPr>
      </w:pPr>
    </w:p>
    <w:p w14:paraId="23EF21A4" w14:textId="59191897" w:rsidR="0006116B" w:rsidRPr="00FF3BB3" w:rsidRDefault="00C81EB2" w:rsidP="00FF3BB3">
      <w:pPr>
        <w:keepNext/>
        <w:shd w:val="clear" w:color="auto" w:fill="215E99" w:themeFill="text2" w:themeFillTint="BF"/>
        <w:tabs>
          <w:tab w:val="left" w:pos="540"/>
        </w:tabs>
        <w:spacing w:after="0" w:line="240" w:lineRule="auto"/>
        <w:outlineLvl w:val="0"/>
        <w:rPr>
          <w:rFonts w:ascii="Segoe UI Symbol" w:eastAsiaTheme="majorEastAsia" w:hAnsi="Segoe UI Symbol" w:cstheme="majorHAnsi"/>
          <w:b/>
          <w:color w:val="2C7FCE" w:themeColor="text2" w:themeTint="99"/>
          <w:sz w:val="30"/>
          <w:szCs w:val="30"/>
          <w:lang w:val="sr-Latn-RS" w:eastAsia="ja-JP"/>
        </w:rPr>
      </w:pPr>
      <w:bookmarkStart w:id="35" w:name="_Toc224550102"/>
      <w:r>
        <w:rPr>
          <w:rFonts w:asciiTheme="majorHAnsi" w:eastAsiaTheme="majorEastAsia" w:hAnsiTheme="majorHAnsi" w:cstheme="majorHAnsi"/>
          <w:b/>
          <w:color w:val="FFFFFF" w:themeColor="background1"/>
          <w:sz w:val="30"/>
          <w:szCs w:val="30"/>
          <w:lang w:val="sr-Latn-RS"/>
        </w:rPr>
        <w:lastRenderedPageBreak/>
        <w:t>Prilog</w:t>
      </w:r>
      <w:r w:rsidR="0006116B" w:rsidRPr="00FF3BB3">
        <w:rPr>
          <w:rFonts w:asciiTheme="majorHAnsi" w:eastAsiaTheme="majorEastAsia" w:hAnsiTheme="majorHAnsi" w:cstheme="majorHAnsi"/>
          <w:b/>
          <w:color w:val="FFFFFF" w:themeColor="background1"/>
          <w:sz w:val="30"/>
          <w:szCs w:val="30"/>
          <w:lang w:val="sr-Latn-RS"/>
        </w:rPr>
        <w:t xml:space="preserve"> 3 </w:t>
      </w:r>
      <w:r>
        <w:rPr>
          <w:rFonts w:asciiTheme="majorHAnsi" w:eastAsiaTheme="majorEastAsia" w:hAnsiTheme="majorHAnsi" w:cstheme="majorHAnsi"/>
          <w:b/>
          <w:color w:val="FFFFFF" w:themeColor="background1"/>
          <w:sz w:val="30"/>
          <w:szCs w:val="30"/>
          <w:lang w:val="sr-Latn-RS"/>
        </w:rPr>
        <w:t>.</w:t>
      </w:r>
      <w:r w:rsidR="0006116B" w:rsidRPr="00FF3BB3">
        <w:rPr>
          <w:rFonts w:asciiTheme="majorHAnsi" w:eastAsiaTheme="majorEastAsia" w:hAnsiTheme="majorHAnsi" w:cstheme="majorHAnsi"/>
          <w:b/>
          <w:color w:val="FFFFFF" w:themeColor="background1"/>
          <w:sz w:val="30"/>
          <w:szCs w:val="30"/>
          <w:lang w:val="sr-Latn-RS"/>
        </w:rPr>
        <w:t>Dodela granta</w:t>
      </w:r>
      <w:bookmarkEnd w:id="35"/>
    </w:p>
    <w:p w14:paraId="3558E41F" w14:textId="50E3ECBA" w:rsidR="0054460A" w:rsidRDefault="00C81EB2" w:rsidP="005A01D6">
      <w:pPr>
        <w:spacing w:line="276" w:lineRule="auto"/>
        <w:jc w:val="both"/>
        <w:rPr>
          <w:rFonts w:asciiTheme="majorHAnsi" w:hAnsiTheme="majorHAnsi" w:cstheme="majorHAnsi"/>
          <w:lang w:val="sr-Latn-RS"/>
        </w:rPr>
      </w:pPr>
      <w:r>
        <w:rPr>
          <w:rFonts w:asciiTheme="majorHAnsi" w:hAnsiTheme="majorHAnsi" w:cstheme="majorHAnsi"/>
          <w:lang w:val="sr-Latn-RS"/>
        </w:rPr>
        <w:t xml:space="preserve">Na osnovu rezultata minimalnih uslova i </w:t>
      </w:r>
      <w:r w:rsidR="005A35F3">
        <w:rPr>
          <w:rFonts w:asciiTheme="majorHAnsi" w:hAnsiTheme="majorHAnsi" w:cstheme="majorHAnsi"/>
          <w:lang w:val="sr-Latn-RS"/>
        </w:rPr>
        <w:t>pokazatelj</w:t>
      </w:r>
      <w:r>
        <w:rPr>
          <w:rFonts w:asciiTheme="majorHAnsi" w:hAnsiTheme="majorHAnsi" w:cstheme="majorHAnsi"/>
          <w:lang w:val="sr-Latn-RS"/>
        </w:rPr>
        <w:t>a učinka</w:t>
      </w:r>
      <w:r w:rsidR="0006116B" w:rsidRPr="00FF3BB3">
        <w:rPr>
          <w:rFonts w:asciiTheme="majorHAnsi" w:hAnsiTheme="majorHAnsi" w:cstheme="majorHAnsi"/>
          <w:lang w:val="sr-Latn-RS"/>
        </w:rPr>
        <w:t xml:space="preserve">, </w:t>
      </w:r>
      <w:r>
        <w:rPr>
          <w:rFonts w:asciiTheme="majorHAnsi" w:hAnsiTheme="majorHAnsi" w:cstheme="majorHAnsi"/>
          <w:lang w:val="sr-Latn-RS"/>
        </w:rPr>
        <w:t xml:space="preserve">popunjena </w:t>
      </w:r>
      <w:r w:rsidR="0006116B" w:rsidRPr="00FF3BB3">
        <w:rPr>
          <w:rFonts w:asciiTheme="majorHAnsi" w:hAnsiTheme="majorHAnsi" w:cstheme="majorHAnsi"/>
          <w:lang w:val="sr-Latn-RS"/>
        </w:rPr>
        <w:t xml:space="preserve">je tabela </w:t>
      </w:r>
      <w:r>
        <w:rPr>
          <w:rFonts w:asciiTheme="majorHAnsi" w:hAnsiTheme="majorHAnsi" w:cstheme="majorHAnsi"/>
          <w:lang w:val="sr-Latn-RS"/>
        </w:rPr>
        <w:t xml:space="preserve">za </w:t>
      </w:r>
      <w:r w:rsidR="0006116B" w:rsidRPr="00FF3BB3">
        <w:rPr>
          <w:rFonts w:asciiTheme="majorHAnsi" w:hAnsiTheme="majorHAnsi" w:cstheme="majorHAnsi"/>
          <w:lang w:val="sr-Latn-RS"/>
        </w:rPr>
        <w:t>raspodel</w:t>
      </w:r>
      <w:r>
        <w:rPr>
          <w:rFonts w:asciiTheme="majorHAnsi" w:hAnsiTheme="majorHAnsi" w:cstheme="majorHAnsi"/>
          <w:lang w:val="sr-Latn-RS"/>
        </w:rPr>
        <w:t xml:space="preserve">u </w:t>
      </w:r>
      <w:r w:rsidR="0006116B" w:rsidRPr="00FF3BB3">
        <w:rPr>
          <w:rFonts w:asciiTheme="majorHAnsi" w:hAnsiTheme="majorHAnsi" w:cstheme="majorHAnsi"/>
          <w:lang w:val="sr-Latn-RS"/>
        </w:rPr>
        <w:t xml:space="preserve">granta. </w:t>
      </w:r>
    </w:p>
    <w:p w14:paraId="647D7983" w14:textId="4BD276AC" w:rsidR="005A01D6" w:rsidRPr="00F41E1B" w:rsidRDefault="00964F1C" w:rsidP="00FF3BB3">
      <w:pPr>
        <w:rPr>
          <w:rFonts w:asciiTheme="majorHAnsi" w:hAnsiTheme="majorHAnsi" w:cstheme="majorHAnsi"/>
          <w:lang w:val="en-US"/>
        </w:rPr>
        <w:sectPr w:rsidR="005A01D6" w:rsidRPr="00F41E1B" w:rsidSect="00F43A28">
          <w:pgSz w:w="15840" w:h="12240" w:orient="landscape"/>
          <w:pgMar w:top="1440" w:right="1440" w:bottom="1440" w:left="1440" w:header="720" w:footer="720" w:gutter="0"/>
          <w:cols w:space="720"/>
          <w:docGrid w:linePitch="360"/>
        </w:sectPr>
      </w:pPr>
      <w:r w:rsidRPr="00964F1C">
        <w:rPr>
          <w:noProof/>
          <w:lang w:val="en-GB" w:eastAsia="en-GB"/>
        </w:rPr>
        <w:drawing>
          <wp:inline distT="0" distB="0" distL="0" distR="0" wp14:anchorId="067D1337" wp14:editId="761E01DF">
            <wp:extent cx="8451850" cy="5383033"/>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24560" cy="5429342"/>
                    </a:xfrm>
                    <a:prstGeom prst="rect">
                      <a:avLst/>
                    </a:prstGeom>
                    <a:noFill/>
                    <a:ln>
                      <a:noFill/>
                    </a:ln>
                  </pic:spPr>
                </pic:pic>
              </a:graphicData>
            </a:graphic>
          </wp:inline>
        </w:drawing>
      </w:r>
    </w:p>
    <w:p w14:paraId="03E8B6D2" w14:textId="38DD7BA6" w:rsidR="00F41E1B" w:rsidRPr="00F41E1B" w:rsidRDefault="00242878" w:rsidP="00F41E1B">
      <w:pPr>
        <w:spacing w:line="276" w:lineRule="auto"/>
        <w:jc w:val="both"/>
        <w:rPr>
          <w:rFonts w:asciiTheme="majorHAnsi" w:hAnsiTheme="majorHAnsi" w:cstheme="majorHAnsi"/>
          <w:lang w:val="sr-Latn-RS"/>
        </w:rPr>
      </w:pPr>
      <w:r>
        <w:rPr>
          <w:rFonts w:asciiTheme="majorHAnsi" w:hAnsiTheme="majorHAnsi" w:cstheme="majorHAnsi"/>
          <w:lang w:val="sr-Latn-RS"/>
        </w:rPr>
        <w:lastRenderedPageBreak/>
        <w:t>Prema tome</w:t>
      </w:r>
      <w:r w:rsidR="0006116B" w:rsidRPr="00FF3BB3">
        <w:rPr>
          <w:rFonts w:asciiTheme="majorHAnsi" w:hAnsiTheme="majorHAnsi" w:cstheme="majorHAnsi"/>
          <w:lang w:val="sr-Latn-RS"/>
        </w:rPr>
        <w:t xml:space="preserve">, tabela </w:t>
      </w:r>
      <w:r>
        <w:rPr>
          <w:rFonts w:asciiTheme="majorHAnsi" w:hAnsiTheme="majorHAnsi" w:cstheme="majorHAnsi"/>
          <w:lang w:val="sr-Latn-RS"/>
        </w:rPr>
        <w:t>za raspodelu</w:t>
      </w:r>
      <w:r w:rsidR="0006116B" w:rsidRPr="00FF3BB3">
        <w:rPr>
          <w:rFonts w:asciiTheme="majorHAnsi" w:hAnsiTheme="majorHAnsi" w:cstheme="majorHAnsi"/>
          <w:lang w:val="sr-Latn-RS"/>
        </w:rPr>
        <w:t xml:space="preserve"> granta </w:t>
      </w:r>
      <w:r>
        <w:rPr>
          <w:rFonts w:asciiTheme="majorHAnsi" w:hAnsiTheme="majorHAnsi" w:cstheme="majorHAnsi"/>
          <w:lang w:val="sr-Latn-RS"/>
        </w:rPr>
        <w:t>s</w:t>
      </w:r>
      <w:r w:rsidR="0006116B" w:rsidRPr="00FF3BB3">
        <w:rPr>
          <w:rFonts w:asciiTheme="majorHAnsi" w:hAnsiTheme="majorHAnsi" w:cstheme="majorHAnsi"/>
          <w:lang w:val="sr-Latn-RS"/>
        </w:rPr>
        <w:t xml:space="preserve">e </w:t>
      </w:r>
      <w:r>
        <w:rPr>
          <w:rFonts w:asciiTheme="majorHAnsi" w:hAnsiTheme="majorHAnsi" w:cstheme="majorHAnsi"/>
          <w:lang w:val="sr-Latn-RS"/>
        </w:rPr>
        <w:t xml:space="preserve">popunjava </w:t>
      </w:r>
      <w:r w:rsidR="0006116B" w:rsidRPr="00FF3BB3">
        <w:rPr>
          <w:rFonts w:asciiTheme="majorHAnsi" w:hAnsiTheme="majorHAnsi" w:cstheme="majorHAnsi"/>
          <w:lang w:val="sr-Latn-RS"/>
        </w:rPr>
        <w:t xml:space="preserve">na osnovu rezultata minimalnih uslova i </w:t>
      </w:r>
      <w:r w:rsidR="005A35F3">
        <w:rPr>
          <w:rFonts w:asciiTheme="majorHAnsi" w:hAnsiTheme="majorHAnsi" w:cstheme="majorHAnsi"/>
          <w:lang w:val="sr-Latn-RS"/>
        </w:rPr>
        <w:t>pokazatelj</w:t>
      </w:r>
      <w:r>
        <w:rPr>
          <w:rFonts w:asciiTheme="majorHAnsi" w:hAnsiTheme="majorHAnsi" w:cstheme="majorHAnsi"/>
          <w:lang w:val="sr-Latn-RS"/>
        </w:rPr>
        <w:t>a učinka</w:t>
      </w:r>
      <w:r w:rsidR="0006116B" w:rsidRPr="00FF3BB3">
        <w:rPr>
          <w:rFonts w:asciiTheme="majorHAnsi" w:hAnsiTheme="majorHAnsi" w:cstheme="majorHAnsi"/>
          <w:lang w:val="sr-Latn-RS"/>
        </w:rPr>
        <w:t xml:space="preserve">, tabela </w:t>
      </w:r>
      <w:r>
        <w:rPr>
          <w:rFonts w:asciiTheme="majorHAnsi" w:hAnsiTheme="majorHAnsi" w:cstheme="majorHAnsi"/>
          <w:lang w:val="sr-Latn-RS"/>
        </w:rPr>
        <w:t>za raspodelu</w:t>
      </w:r>
      <w:r w:rsidR="0006116B" w:rsidRPr="00FF3BB3">
        <w:rPr>
          <w:rFonts w:asciiTheme="majorHAnsi" w:hAnsiTheme="majorHAnsi" w:cstheme="majorHAnsi"/>
          <w:lang w:val="sr-Latn-RS"/>
        </w:rPr>
        <w:t xml:space="preserve"> granta </w:t>
      </w:r>
      <w:r>
        <w:rPr>
          <w:rFonts w:asciiTheme="majorHAnsi" w:hAnsiTheme="majorHAnsi" w:cstheme="majorHAnsi"/>
          <w:lang w:val="sr-Latn-RS"/>
        </w:rPr>
        <w:t>j</w:t>
      </w:r>
      <w:r w:rsidR="0006116B" w:rsidRPr="00FF3BB3">
        <w:rPr>
          <w:rFonts w:asciiTheme="majorHAnsi" w:hAnsiTheme="majorHAnsi" w:cstheme="majorHAnsi"/>
          <w:lang w:val="sr-Latn-RS"/>
        </w:rPr>
        <w:t xml:space="preserve">e </w:t>
      </w:r>
      <w:r>
        <w:rPr>
          <w:rFonts w:asciiTheme="majorHAnsi" w:hAnsiTheme="majorHAnsi" w:cstheme="majorHAnsi"/>
          <w:lang w:val="sr-Latn-RS"/>
        </w:rPr>
        <w:t>popunjena</w:t>
      </w:r>
      <w:r w:rsidR="0006116B" w:rsidRPr="00FF3BB3">
        <w:rPr>
          <w:rFonts w:asciiTheme="majorHAnsi" w:hAnsiTheme="majorHAnsi" w:cstheme="majorHAnsi"/>
          <w:lang w:val="sr-Latn-RS"/>
        </w:rPr>
        <w:t>.</w:t>
      </w:r>
    </w:p>
    <w:p w14:paraId="3236DB2E" w14:textId="23DD6673"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2 – predstavlja naziv opštine, dok kolona 3 predstavlja ukupan iznos opšteg granta prema budžetskom cirkularu 2025/01.</w:t>
      </w:r>
    </w:p>
    <w:p w14:paraId="2DC4F41E" w14:textId="7FB006C4"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4 – „Relativni udeo opšteg granta“ – utvrđuje se deljenjem „opšteg granta u koloni (3)“ sa „ukupnim iznosom opšteg granta za alokaciju“ – ukupna vrednost kolone 3.</w:t>
      </w:r>
    </w:p>
    <w:p w14:paraId="63D8582A" w14:textId="1F0087DD"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5 – ocena minimalnih uslova. Ako je opština ispunila sva četiri minimalna uslova, dobija vrednost 1; ako opština nije ispunila minimalne uslove, dobija vrednost 0, što znači da nije korisnik granta.</w:t>
      </w:r>
    </w:p>
    <w:p w14:paraId="0ECB1496" w14:textId="7268EA18"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6 – „Bodovi procene“ izračunavaju se sabiranjem bodova osvojenih u svakom od 2 indikatora učinka (performansi).</w:t>
      </w:r>
    </w:p>
    <w:p w14:paraId="251D9CF1" w14:textId="3DE99F7E"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7 – ako je opština ispunila minimalne uslove, tada se kolona 7 – „Ponderisani rezultat učinka“ – izračunava množenjem „bodova procene“ iz kolone (6) sa „relativnim udelom opšteg granta“ iz kolone (4).</w:t>
      </w:r>
    </w:p>
    <w:p w14:paraId="238555D0" w14:textId="46987984"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(8) – „Relativni udeo ponderisanog rezultata“ izračunava se deljenjem „Ponderisanog rezultata učinka za opštinu“ iz kolone (7) sa „ukupnim ponderisanim rezultatom“ – ukupna vrednost kolone (7).</w:t>
      </w:r>
    </w:p>
    <w:p w14:paraId="4103D232" w14:textId="627AA780"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(10) – prikazuje raspodelu granta za svaku opštinu kao procenat raspodele opšteg granta (kolona 3).</w:t>
      </w:r>
    </w:p>
    <w:p w14:paraId="000CAEC0" w14:textId="29A4EB14"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11 – prikazuje raspodelu nagrada za prva 3 mesta.</w:t>
      </w:r>
    </w:p>
    <w:p w14:paraId="5895A09B" w14:textId="36DB1484" w:rsidR="00F41E1B" w:rsidRPr="00F41E1B" w:rsidRDefault="00F41E1B" w:rsidP="00F41E1B">
      <w:pPr>
        <w:rPr>
          <w:rFonts w:asciiTheme="majorHAnsi" w:hAnsiTheme="majorHAnsi" w:cstheme="majorHAnsi"/>
          <w:lang w:val="sr-Latn-RS"/>
        </w:rPr>
      </w:pPr>
      <w:r w:rsidRPr="00F41E1B">
        <w:rPr>
          <w:rFonts w:asciiTheme="majorHAnsi" w:hAnsiTheme="majorHAnsi" w:cstheme="majorHAnsi"/>
          <w:lang w:val="sr-Latn-RS"/>
        </w:rPr>
        <w:t>Kolona 12 – prikazuje ukupnu vrednost opštinskog granta za učinak (GPK) za svaku opštinu nakon raspodele nagrada. Dakle, iznosu u koloni 9 – izračunata vrednost za GPK – dodaje se iznos nagrade, što daje ukupnu vrednost GPK-a za svaku opštinu.</w:t>
      </w:r>
    </w:p>
    <w:p w14:paraId="2A7B06D4" w14:textId="7F3F4240" w:rsidR="0006116B" w:rsidRPr="00FF3BB3" w:rsidRDefault="00F41E1B" w:rsidP="00F41E1B">
      <w:pPr>
        <w:rPr>
          <w:rFonts w:asciiTheme="majorHAnsi" w:hAnsiTheme="majorHAnsi" w:cstheme="majorHAnsi"/>
          <w:lang w:val="sr-Latn-RS"/>
        </w:rPr>
      </w:pPr>
      <w:r w:rsidRPr="00F41E1B">
        <w:rPr>
          <w:rFonts w:asciiTheme="majorHAnsi" w:hAnsiTheme="majorHAnsi" w:cstheme="majorHAnsi"/>
          <w:lang w:val="sr-Latn-RS"/>
        </w:rPr>
        <w:t>Kolona 13 – prikazuje raspodelu granta za svaku opštinu kao procenat raspodele opšteg granta (kolona 3).</w:t>
      </w:r>
      <w:r w:rsidR="0006116B" w:rsidRPr="00FF3BB3">
        <w:rPr>
          <w:rFonts w:asciiTheme="majorHAnsi" w:hAnsiTheme="majorHAnsi" w:cstheme="majorHAnsi"/>
          <w:lang w:val="sr-Latn-RS"/>
        </w:rPr>
        <w:br w:type="page"/>
      </w:r>
    </w:p>
    <w:p w14:paraId="4CC1CA75" w14:textId="743CD09E" w:rsidR="0006116B" w:rsidRPr="00FF3BB3" w:rsidRDefault="006C4E34" w:rsidP="00FF3BB3">
      <w:pPr>
        <w:keepNext/>
        <w:shd w:val="clear" w:color="auto" w:fill="215E99" w:themeFill="text2" w:themeFillTint="BF"/>
        <w:tabs>
          <w:tab w:val="left" w:pos="540"/>
        </w:tabs>
        <w:spacing w:after="0" w:line="240" w:lineRule="auto"/>
        <w:outlineLvl w:val="0"/>
        <w:rPr>
          <w:rFonts w:asciiTheme="majorHAnsi" w:eastAsiaTheme="majorEastAsia" w:hAnsiTheme="majorHAnsi" w:cstheme="majorHAnsi"/>
          <w:b/>
          <w:color w:val="FFFFFF" w:themeColor="background1"/>
          <w:sz w:val="30"/>
          <w:szCs w:val="30"/>
          <w:lang w:val="sr-Latn-RS"/>
        </w:rPr>
      </w:pPr>
      <w:bookmarkStart w:id="36" w:name="_Toc224550103"/>
      <w:r>
        <w:rPr>
          <w:rFonts w:asciiTheme="majorHAnsi" w:eastAsiaTheme="majorEastAsia" w:hAnsiTheme="majorHAnsi" w:cstheme="majorHAnsi"/>
          <w:b/>
          <w:color w:val="FFFFFF" w:themeColor="background1"/>
          <w:sz w:val="30"/>
          <w:szCs w:val="30"/>
          <w:lang w:val="sr-Latn-RS"/>
        </w:rPr>
        <w:lastRenderedPageBreak/>
        <w:t>Prilog</w:t>
      </w:r>
      <w:r w:rsidR="0006116B" w:rsidRPr="00FF3BB3">
        <w:rPr>
          <w:rFonts w:asciiTheme="majorHAnsi" w:eastAsiaTheme="majorEastAsia" w:hAnsiTheme="majorHAnsi" w:cstheme="majorHAnsi"/>
          <w:b/>
          <w:color w:val="FFFFFF" w:themeColor="background1"/>
          <w:sz w:val="30"/>
          <w:szCs w:val="30"/>
          <w:lang w:val="sr-Latn-RS"/>
        </w:rPr>
        <w:t xml:space="preserve"> 4</w:t>
      </w:r>
      <w:r>
        <w:rPr>
          <w:rFonts w:asciiTheme="majorHAnsi" w:eastAsiaTheme="majorEastAsia" w:hAnsiTheme="majorHAnsi" w:cstheme="majorHAnsi"/>
          <w:b/>
          <w:color w:val="FFFFFF" w:themeColor="background1"/>
          <w:sz w:val="30"/>
          <w:szCs w:val="30"/>
          <w:lang w:val="sr-Latn-RS"/>
        </w:rPr>
        <w:t>.</w:t>
      </w:r>
      <w:r w:rsidR="0006116B" w:rsidRPr="00FF3BB3">
        <w:rPr>
          <w:rFonts w:asciiTheme="majorHAnsi" w:eastAsiaTheme="majorEastAsia" w:hAnsiTheme="majorHAnsi" w:cstheme="majorHAnsi"/>
          <w:b/>
          <w:color w:val="FFFFFF" w:themeColor="background1"/>
          <w:sz w:val="30"/>
          <w:szCs w:val="30"/>
          <w:lang w:val="sr-Latn-RS"/>
        </w:rPr>
        <w:t xml:space="preserve"> </w:t>
      </w:r>
      <w:r>
        <w:rPr>
          <w:rFonts w:asciiTheme="majorHAnsi" w:eastAsiaTheme="majorEastAsia" w:hAnsiTheme="majorHAnsi" w:cstheme="majorHAnsi"/>
          <w:b/>
          <w:color w:val="FFFFFF" w:themeColor="background1"/>
          <w:sz w:val="30"/>
          <w:szCs w:val="30"/>
          <w:lang w:val="sr-Latn-RS"/>
        </w:rPr>
        <w:t xml:space="preserve">Pregled </w:t>
      </w:r>
      <w:r w:rsidR="0006116B" w:rsidRPr="00FF3BB3">
        <w:rPr>
          <w:rFonts w:asciiTheme="majorHAnsi" w:eastAsiaTheme="majorEastAsia" w:hAnsiTheme="majorHAnsi" w:cstheme="majorHAnsi"/>
          <w:b/>
          <w:color w:val="FFFFFF" w:themeColor="background1"/>
          <w:sz w:val="30"/>
          <w:szCs w:val="30"/>
          <w:lang w:val="sr-Latn-RS"/>
        </w:rPr>
        <w:t xml:space="preserve">rezultata učinka </w:t>
      </w:r>
      <w:r w:rsidR="00CC1070">
        <w:rPr>
          <w:rFonts w:asciiTheme="majorHAnsi" w:eastAsiaTheme="majorEastAsia" w:hAnsiTheme="majorHAnsi" w:cstheme="majorHAnsi"/>
          <w:b/>
          <w:color w:val="FFFFFF" w:themeColor="background1"/>
          <w:sz w:val="30"/>
          <w:szCs w:val="30"/>
          <w:lang w:val="sr-Latn-RS"/>
        </w:rPr>
        <w:t>svake opštine</w:t>
      </w:r>
      <w:bookmarkEnd w:id="36"/>
    </w:p>
    <w:p w14:paraId="4180C35E" w14:textId="4A493FFE" w:rsidR="0006116B" w:rsidRPr="00FF3BB3" w:rsidRDefault="0006116B" w:rsidP="00FF3BB3">
      <w:pPr>
        <w:spacing w:line="276" w:lineRule="auto"/>
        <w:jc w:val="both"/>
        <w:rPr>
          <w:rFonts w:asciiTheme="majorHAnsi" w:hAnsiTheme="majorHAnsi" w:cstheme="majorHAnsi"/>
          <w:lang w:val="sr-Latn-RS"/>
        </w:rPr>
      </w:pPr>
    </w:p>
    <w:p w14:paraId="03D3D753" w14:textId="379F95C3" w:rsidR="0006116B" w:rsidRPr="00764FC3" w:rsidRDefault="00F41E1B" w:rsidP="00FF3BB3">
      <w:pPr>
        <w:rPr>
          <w:rFonts w:cstheme="majorHAnsi"/>
          <w:b/>
          <w:bCs/>
          <w:lang w:val="sr-Latn-RS"/>
        </w:rPr>
      </w:pPr>
      <w:r>
        <w:rPr>
          <w:noProof/>
          <w:lang w:val="en-GB" w:eastAsia="en-GB"/>
          <w14:ligatures w14:val="standardContextual"/>
        </w:rPr>
        <w:drawing>
          <wp:anchor distT="0" distB="0" distL="114300" distR="114300" simplePos="0" relativeHeight="251811840" behindDoc="0" locked="0" layoutInCell="1" allowOverlap="1" wp14:anchorId="3FE4A261" wp14:editId="3599D6AF">
            <wp:simplePos x="0" y="0"/>
            <wp:positionH relativeFrom="column">
              <wp:posOffset>2438400</wp:posOffset>
            </wp:positionH>
            <wp:positionV relativeFrom="paragraph">
              <wp:posOffset>288925</wp:posOffset>
            </wp:positionV>
            <wp:extent cx="3543300" cy="2324100"/>
            <wp:effectExtent l="0" t="0" r="0" b="0"/>
            <wp:wrapSquare wrapText="bothSides"/>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6C4E34" w:rsidRPr="00764FC3">
        <w:rPr>
          <w:rFonts w:cstheme="majorHAnsi"/>
          <w:b/>
          <w:bCs/>
          <w:lang w:val="sr-Latn-RS"/>
        </w:rPr>
        <w:t>Pregled</w:t>
      </w:r>
      <w:r w:rsidR="0006116B" w:rsidRPr="00764FC3">
        <w:rPr>
          <w:rFonts w:cstheme="majorHAnsi"/>
          <w:b/>
          <w:bCs/>
          <w:lang w:val="sr-Latn-RS"/>
        </w:rPr>
        <w:t xml:space="preserve"> rezultata za </w:t>
      </w:r>
      <w:r>
        <w:rPr>
          <w:rFonts w:cstheme="majorHAnsi"/>
          <w:b/>
          <w:bCs/>
          <w:lang w:val="sr-Latn-RS"/>
        </w:rPr>
        <w:t>2024</w:t>
      </w:r>
      <w:r w:rsidR="0006116B" w:rsidRPr="00764FC3">
        <w:rPr>
          <w:rFonts w:cstheme="majorHAnsi"/>
          <w:b/>
          <w:bCs/>
          <w:lang w:val="sr-Latn-RS"/>
        </w:rPr>
        <w:t>. godinu grant</w:t>
      </w:r>
      <w:r w:rsidR="006C4E34" w:rsidRPr="00764FC3">
        <w:rPr>
          <w:rFonts w:cstheme="majorHAnsi"/>
          <w:b/>
          <w:bCs/>
          <w:lang w:val="sr-Latn-RS"/>
        </w:rPr>
        <w:t>a</w:t>
      </w:r>
      <w:r w:rsidR="0006116B" w:rsidRPr="00764FC3">
        <w:rPr>
          <w:rFonts w:cstheme="majorHAnsi"/>
          <w:b/>
          <w:bCs/>
          <w:lang w:val="sr-Latn-RS"/>
        </w:rPr>
        <w:t xml:space="preserve"> za o</w:t>
      </w:r>
      <w:r w:rsidR="006C4E34" w:rsidRPr="00764FC3">
        <w:rPr>
          <w:rFonts w:cstheme="majorHAnsi"/>
          <w:b/>
          <w:bCs/>
          <w:lang w:val="sr-Latn-RS"/>
        </w:rPr>
        <w:t>pštinski učinak - Opština Dečane</w:t>
      </w:r>
    </w:p>
    <w:p w14:paraId="70F84D63" w14:textId="1B62D711" w:rsidR="0006116B" w:rsidRPr="00764FC3" w:rsidRDefault="0006116B" w:rsidP="00FF3BB3">
      <w:pPr>
        <w:jc w:val="both"/>
        <w:rPr>
          <w:rFonts w:eastAsiaTheme="majorEastAsia" w:cstheme="majorBidi"/>
          <w:b/>
          <w:noProof/>
          <w:lang w:val="sr-Latn-RS"/>
        </w:rPr>
      </w:pPr>
      <w:r w:rsidRPr="00764FC3">
        <w:rPr>
          <w:rFonts w:eastAsiaTheme="majorEastAsia" w:cstheme="majorBidi"/>
          <w:b/>
          <w:noProof/>
          <w:lang w:val="sr-Latn-RS"/>
        </w:rPr>
        <w:t xml:space="preserve">Procena minimalnih uslova za </w:t>
      </w:r>
      <w:r w:rsidR="00F41E1B">
        <w:rPr>
          <w:rFonts w:eastAsiaTheme="majorEastAsia" w:cstheme="majorBidi"/>
          <w:b/>
          <w:noProof/>
          <w:lang w:val="sr-Latn-RS"/>
        </w:rPr>
        <w:t>202</w:t>
      </w:r>
      <w:r w:rsidR="00803579">
        <w:rPr>
          <w:rFonts w:eastAsiaTheme="majorEastAsia" w:cstheme="majorBidi"/>
          <w:b/>
          <w:noProof/>
          <w:lang w:val="sr-Latn-RS"/>
        </w:rPr>
        <w:t>4</w:t>
      </w:r>
      <w:r w:rsidRPr="00764FC3">
        <w:rPr>
          <w:rFonts w:eastAsiaTheme="majorEastAsia" w:cstheme="majorBidi"/>
          <w:b/>
          <w:noProof/>
          <w:lang w:val="sr-Latn-RS"/>
        </w:rPr>
        <w:t>. godinu</w:t>
      </w:r>
    </w:p>
    <w:p w14:paraId="7B85F54F" w14:textId="3F5AA866" w:rsidR="00A678F3" w:rsidRPr="00764FC3" w:rsidRDefault="0006116B" w:rsidP="00FF3BB3">
      <w:pPr>
        <w:jc w:val="both"/>
        <w:rPr>
          <w:rFonts w:cstheme="majorHAnsi"/>
          <w:lang w:val="sr-Latn-RS"/>
        </w:rPr>
      </w:pPr>
      <w:r w:rsidRPr="00764FC3">
        <w:rPr>
          <w:rFonts w:cstheme="majorHAnsi"/>
          <w:lang w:val="sr-Latn-RS"/>
        </w:rPr>
        <w:t xml:space="preserve">Opština Dečane se nije kvalifikovala </w:t>
      </w:r>
      <w:r w:rsidR="000F06AF" w:rsidRPr="00764FC3">
        <w:rPr>
          <w:rFonts w:cstheme="majorHAnsi"/>
          <w:lang w:val="sr-Latn-RS"/>
        </w:rPr>
        <w:t xml:space="preserve">za grant za opštinski učinak za 2025. godinu, na osnovu učinka za </w:t>
      </w:r>
      <w:r w:rsidR="00F41E1B">
        <w:rPr>
          <w:rFonts w:cstheme="majorHAnsi"/>
          <w:lang w:val="sr-Latn-RS"/>
        </w:rPr>
        <w:t>2024</w:t>
      </w:r>
      <w:r w:rsidR="000F06AF" w:rsidRPr="00764FC3">
        <w:rPr>
          <w:rFonts w:cstheme="majorHAnsi"/>
          <w:lang w:val="sr-Latn-RS"/>
        </w:rPr>
        <w:t>. godinu.</w:t>
      </w:r>
      <w:r w:rsidR="00921733" w:rsidRPr="00764FC3">
        <w:rPr>
          <w:rFonts w:cstheme="majorHAnsi"/>
          <w:noProof/>
          <w:lang w:val="en-US"/>
        </w:rPr>
        <w:t xml:space="preserve"> </w:t>
      </w:r>
    </w:p>
    <w:p w14:paraId="6F5134F9" w14:textId="5C2CABA7" w:rsidR="0006116B" w:rsidRPr="00764FC3" w:rsidRDefault="0006116B" w:rsidP="009275FE">
      <w:pPr>
        <w:jc w:val="both"/>
        <w:rPr>
          <w:rFonts w:cstheme="majorHAnsi"/>
          <w:noProof/>
          <w:lang w:val="sr-Latn-RS"/>
        </w:rPr>
      </w:pPr>
      <w:r w:rsidRPr="00764FC3">
        <w:rPr>
          <w:rFonts w:cstheme="majorHAnsi"/>
          <w:lang w:val="sr-Latn-RS"/>
        </w:rPr>
        <w:t>Minimalni uslovi broj</w:t>
      </w:r>
      <w:r w:rsidR="00487110">
        <w:rPr>
          <w:rFonts w:cstheme="majorHAnsi"/>
          <w:lang w:val="sr-Latn-RS"/>
        </w:rPr>
        <w:t xml:space="preserve"> </w:t>
      </w:r>
      <w:r w:rsidRPr="00764FC3">
        <w:rPr>
          <w:rFonts w:cstheme="majorHAnsi"/>
          <w:lang w:val="sr-Latn-RS"/>
        </w:rPr>
        <w:t xml:space="preserve">3 (revizorsko mišljenje </w:t>
      </w:r>
      <w:r w:rsidR="00296016" w:rsidRPr="00764FC3">
        <w:rPr>
          <w:rFonts w:cstheme="majorHAnsi"/>
          <w:lang w:val="sr-Latn-RS"/>
        </w:rPr>
        <w:t>treba da bude</w:t>
      </w:r>
      <w:r w:rsidRPr="00764FC3">
        <w:rPr>
          <w:rFonts w:cstheme="majorHAnsi"/>
          <w:lang w:val="sr-Latn-RS"/>
        </w:rPr>
        <w:t xml:space="preserve"> </w:t>
      </w:r>
      <w:r w:rsidR="00296016" w:rsidRPr="00764FC3">
        <w:rPr>
          <w:rFonts w:cstheme="majorHAnsi"/>
          <w:lang w:val="sr-Latn-RS"/>
        </w:rPr>
        <w:t xml:space="preserve">u najmanju ruku </w:t>
      </w:r>
      <w:r w:rsidRPr="00764FC3">
        <w:rPr>
          <w:rFonts w:cstheme="majorHAnsi"/>
          <w:lang w:val="sr-Latn-RS"/>
        </w:rPr>
        <w:t>ne</w:t>
      </w:r>
      <w:r w:rsidR="00296016" w:rsidRPr="00764FC3">
        <w:rPr>
          <w:rFonts w:cstheme="majorHAnsi"/>
          <w:lang w:val="sr-Latn-RS"/>
        </w:rPr>
        <w:t xml:space="preserve">izmenjeno </w:t>
      </w:r>
      <w:r w:rsidRPr="00764FC3">
        <w:rPr>
          <w:rFonts w:cstheme="majorHAnsi"/>
          <w:lang w:val="sr-Latn-RS"/>
        </w:rPr>
        <w:t xml:space="preserve">sa </w:t>
      </w:r>
      <w:r w:rsidR="00296016" w:rsidRPr="00764FC3">
        <w:rPr>
          <w:rFonts w:cstheme="majorHAnsi"/>
          <w:lang w:val="sr-Latn-RS"/>
        </w:rPr>
        <w:t xml:space="preserve">isticajem </w:t>
      </w:r>
      <w:r w:rsidRPr="00764FC3">
        <w:rPr>
          <w:rFonts w:cstheme="majorHAnsi"/>
          <w:lang w:val="sr-Latn-RS"/>
        </w:rPr>
        <w:t>pitanj</w:t>
      </w:r>
      <w:r w:rsidR="00296016" w:rsidRPr="00764FC3">
        <w:rPr>
          <w:rFonts w:cstheme="majorHAnsi"/>
          <w:lang w:val="sr-Latn-RS"/>
        </w:rPr>
        <w:t>a</w:t>
      </w:r>
      <w:r w:rsidRPr="00764FC3">
        <w:rPr>
          <w:rFonts w:cstheme="majorHAnsi"/>
          <w:lang w:val="sr-Latn-RS"/>
        </w:rPr>
        <w:t>) ni</w:t>
      </w:r>
      <w:r w:rsidR="00487110">
        <w:rPr>
          <w:rFonts w:cstheme="majorHAnsi"/>
          <w:lang w:val="sr-Latn-RS"/>
        </w:rPr>
        <w:t>je</w:t>
      </w:r>
      <w:r w:rsidRPr="00764FC3">
        <w:rPr>
          <w:rFonts w:cstheme="majorHAnsi"/>
          <w:lang w:val="sr-Latn-RS"/>
        </w:rPr>
        <w:t xml:space="preserve"> ispunjen</w:t>
      </w:r>
      <w:r w:rsidR="00487110">
        <w:rPr>
          <w:rFonts w:cstheme="majorHAnsi"/>
          <w:lang w:val="sr-Latn-RS"/>
        </w:rPr>
        <w:t>o</w:t>
      </w:r>
      <w:r w:rsidRPr="00764FC3">
        <w:rPr>
          <w:rFonts w:cstheme="majorHAnsi"/>
          <w:lang w:val="sr-Latn-RS"/>
        </w:rPr>
        <w:t>.</w:t>
      </w:r>
    </w:p>
    <w:p w14:paraId="427893D7" w14:textId="77777777" w:rsidR="009275FE" w:rsidRPr="00764FC3" w:rsidRDefault="009275FE" w:rsidP="009275FE">
      <w:pPr>
        <w:rPr>
          <w:b/>
          <w:lang w:val="sr-Latn-RS"/>
        </w:rPr>
      </w:pPr>
    </w:p>
    <w:p w14:paraId="703F5A2C" w14:textId="519D0C32" w:rsidR="009275FE" w:rsidRPr="00764FC3" w:rsidRDefault="00296016" w:rsidP="009275FE">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18D97700" w14:textId="7F10913C" w:rsidR="0006116B" w:rsidRPr="00764FC3" w:rsidRDefault="00296016" w:rsidP="009275FE">
      <w:pPr>
        <w:rPr>
          <w:b/>
          <w:lang w:val="sr-Latn-RS"/>
        </w:rPr>
      </w:pPr>
      <w:r w:rsidRPr="00764FC3">
        <w:rPr>
          <w:rFonts w:cstheme="majorHAnsi"/>
          <w:lang w:val="sr-Latn-RS"/>
        </w:rPr>
        <w:t xml:space="preserve">Prosečni </w:t>
      </w:r>
      <w:r w:rsidR="0006116B" w:rsidRPr="00764FC3">
        <w:rPr>
          <w:rFonts w:cstheme="majorHAnsi"/>
          <w:lang w:val="sr-Latn-RS"/>
        </w:rPr>
        <w:t xml:space="preserve">učinak </w:t>
      </w:r>
      <w:r w:rsidRPr="00764FC3">
        <w:rPr>
          <w:rFonts w:cstheme="majorHAnsi"/>
          <w:lang w:val="sr-Latn-RS"/>
        </w:rPr>
        <w:t>O</w:t>
      </w:r>
      <w:r w:rsidR="0006116B" w:rsidRPr="00764FC3">
        <w:rPr>
          <w:rFonts w:cstheme="majorHAnsi"/>
          <w:lang w:val="sr-Latn-RS"/>
        </w:rPr>
        <w:t xml:space="preserve">pštine Dečani u </w:t>
      </w:r>
      <w:r w:rsidR="00F41E1B">
        <w:rPr>
          <w:rFonts w:cstheme="majorHAnsi"/>
          <w:lang w:val="sr-Latn-RS"/>
        </w:rPr>
        <w:t>29</w:t>
      </w:r>
      <w:r w:rsidR="0006116B" w:rsidRPr="00764FC3">
        <w:rPr>
          <w:rFonts w:cstheme="majorHAnsi"/>
          <w:lang w:val="sr-Latn-RS"/>
        </w:rPr>
        <w:t xml:space="preserve"> </w:t>
      </w:r>
      <w:r w:rsidRPr="00764FC3">
        <w:rPr>
          <w:rFonts w:cstheme="majorHAnsi"/>
          <w:lang w:val="sr-Latn-RS"/>
        </w:rPr>
        <w:t>pr</w:t>
      </w:r>
      <w:r w:rsidR="0006116B" w:rsidRPr="00764FC3">
        <w:rPr>
          <w:rFonts w:cstheme="majorHAnsi"/>
          <w:lang w:val="sr-Latn-RS"/>
        </w:rPr>
        <w:t xml:space="preserve">ocenjenih </w:t>
      </w:r>
      <w:r w:rsidR="005A35F3" w:rsidRPr="00764FC3">
        <w:rPr>
          <w:rFonts w:cstheme="majorHAnsi"/>
          <w:lang w:val="sr-Latn-RS"/>
        </w:rPr>
        <w:t>pokazatelj</w:t>
      </w:r>
      <w:r w:rsidR="0006116B" w:rsidRPr="00764FC3">
        <w:rPr>
          <w:rFonts w:cstheme="majorHAnsi"/>
          <w:lang w:val="sr-Latn-RS"/>
        </w:rPr>
        <w:t xml:space="preserve">a je </w:t>
      </w:r>
      <w:r w:rsidR="00F41E1B">
        <w:rPr>
          <w:rFonts w:cstheme="majorHAnsi"/>
          <w:lang w:val="sr-Latn-RS"/>
        </w:rPr>
        <w:t>63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sidR="00F41E1B">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F41E1B">
        <w:rPr>
          <w:rFonts w:asciiTheme="majorHAnsi" w:hAnsiTheme="majorHAnsi" w:cstheme="majorHAnsi"/>
        </w:rPr>
        <w:t>64.29</w:t>
      </w:r>
      <w:r w:rsidR="00F41E1B" w:rsidRPr="00F91531">
        <w:rPr>
          <w:rFonts w:asciiTheme="majorHAnsi" w:hAnsiTheme="majorHAnsi" w:cstheme="majorHAnsi"/>
        </w:rPr>
        <w:t>%</w:t>
      </w:r>
      <w:r w:rsidR="0006116B" w:rsidRPr="00764FC3">
        <w:rPr>
          <w:rFonts w:cstheme="majorHAnsi"/>
          <w:lang w:val="sr-Latn-RS"/>
        </w:rPr>
        <w:t>).</w:t>
      </w:r>
      <w:r w:rsidR="0006116B" w:rsidRPr="00764FC3">
        <w:rPr>
          <w:noProof/>
          <w:lang w:val="sr-Latn-RS"/>
        </w:rPr>
        <w:t xml:space="preserve"> </w:t>
      </w:r>
    </w:p>
    <w:p w14:paraId="69B6F54B" w14:textId="6F392A5F" w:rsidR="0006116B" w:rsidRPr="00764FC3" w:rsidRDefault="00F41E1B" w:rsidP="00FF3BB3">
      <w:pPr>
        <w:jc w:val="both"/>
        <w:rPr>
          <w:rFonts w:cstheme="majorHAnsi"/>
          <w:lang w:val="sr-Latn-RS"/>
        </w:rPr>
      </w:pPr>
      <w:r>
        <w:rPr>
          <w:noProof/>
          <w:lang w:val="en-GB" w:eastAsia="en-GB"/>
          <w14:ligatures w14:val="standardContextual"/>
        </w:rPr>
        <w:drawing>
          <wp:anchor distT="0" distB="0" distL="114300" distR="114300" simplePos="0" relativeHeight="251812864" behindDoc="0" locked="0" layoutInCell="1" allowOverlap="1" wp14:anchorId="6D703840" wp14:editId="6C41BC4C">
            <wp:simplePos x="0" y="0"/>
            <wp:positionH relativeFrom="column">
              <wp:posOffset>2219325</wp:posOffset>
            </wp:positionH>
            <wp:positionV relativeFrom="paragraph">
              <wp:posOffset>1905</wp:posOffset>
            </wp:positionV>
            <wp:extent cx="3762375" cy="2743200"/>
            <wp:effectExtent l="0" t="0" r="9525" b="0"/>
            <wp:wrapSquare wrapText="bothSides"/>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anchor>
        </w:drawing>
      </w:r>
      <w:r w:rsidR="0006116B" w:rsidRPr="00764FC3">
        <w:rPr>
          <w:rFonts w:cstheme="majorHAnsi"/>
          <w:lang w:val="sr-Latn-RS"/>
        </w:rPr>
        <w:t xml:space="preserve">Prosečan učinak u </w:t>
      </w:r>
      <w:r>
        <w:rPr>
          <w:rFonts w:cstheme="majorHAnsi"/>
          <w:lang w:val="sr-Latn-RS"/>
        </w:rPr>
        <w:t>13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296016" w:rsidRPr="00764FC3">
        <w:rPr>
          <w:rFonts w:cstheme="majorHAnsi"/>
          <w:lang w:val="sr-Latn-RS"/>
        </w:rPr>
        <w:t>pr</w:t>
      </w:r>
      <w:r w:rsidR="0006116B" w:rsidRPr="00764FC3">
        <w:rPr>
          <w:rFonts w:cstheme="majorHAnsi"/>
          <w:lang w:val="sr-Latn-RS"/>
        </w:rPr>
        <w:t xml:space="preserve">ocenjenih u okviru oblasti „Demokratsko upravljanje“ iznosi </w:t>
      </w:r>
      <w:r>
        <w:rPr>
          <w:rFonts w:cstheme="majorHAnsi"/>
          <w:lang w:val="sr-Latn-RS"/>
        </w:rPr>
        <w:t>34</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85.00</w:t>
      </w:r>
      <w:r w:rsidR="0006116B" w:rsidRPr="00764FC3">
        <w:rPr>
          <w:rFonts w:cstheme="majorHAnsi"/>
          <w:lang w:val="sr-Latn-RS"/>
        </w:rPr>
        <w:t>%).</w:t>
      </w:r>
    </w:p>
    <w:p w14:paraId="2AED243A" w14:textId="74ACB157" w:rsidR="0006116B" w:rsidRPr="00764FC3" w:rsidRDefault="00296016"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pr</w:t>
      </w:r>
      <w:r w:rsidR="0006116B" w:rsidRPr="00764FC3">
        <w:rPr>
          <w:rFonts w:cstheme="majorHAnsi"/>
          <w:lang w:val="sr-Latn-RS"/>
        </w:rPr>
        <w:t>ocenjenih u okviru oblasti „Opštinsko upravljanje“ je</w:t>
      </w:r>
      <w:r w:rsidR="00F41E1B">
        <w:rPr>
          <w:rFonts w:cstheme="majorHAnsi"/>
          <w:lang w:val="sr-Latn-RS"/>
        </w:rPr>
        <w:t xml:space="preserve"> 11</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F41E1B">
        <w:rPr>
          <w:rFonts w:cstheme="majorHAnsi"/>
          <w:lang w:val="sr-Latn-RS"/>
        </w:rPr>
        <w:t>28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487110">
        <w:rPr>
          <w:rFonts w:cstheme="majorHAnsi"/>
          <w:lang w:val="sr-Latn-RS"/>
        </w:rPr>
        <w:t>39.29</w:t>
      </w:r>
      <w:r w:rsidR="0006116B" w:rsidRPr="00764FC3">
        <w:rPr>
          <w:rFonts w:cstheme="majorHAnsi"/>
          <w:lang w:val="sr-Latn-RS"/>
        </w:rPr>
        <w:t>%).</w:t>
      </w:r>
    </w:p>
    <w:p w14:paraId="600CA4E0" w14:textId="726157E8" w:rsidR="0006116B" w:rsidRPr="00764FC3" w:rsidRDefault="00296016" w:rsidP="009275FE">
      <w:pPr>
        <w:jc w:val="both"/>
        <w:rPr>
          <w:rFonts w:cstheme="majorHAnsi"/>
          <w:lang w:val="sr-Latn-RS"/>
        </w:rPr>
        <w:sectPr w:rsidR="0006116B" w:rsidRPr="00764FC3" w:rsidSect="0069543C">
          <w:headerReference w:type="first" r:id="rId38"/>
          <w:pgSz w:w="12240" w:h="15840"/>
          <w:pgMar w:top="1440" w:right="1440" w:bottom="1440" w:left="1440" w:header="720" w:footer="720" w:gutter="0"/>
          <w:cols w:space="720"/>
          <w:docGrid w:linePitch="360"/>
        </w:sectPr>
      </w:pPr>
      <w:r w:rsidRPr="00764FC3">
        <w:rPr>
          <w:rFonts w:cstheme="majorHAnsi"/>
          <w:lang w:val="sr-Latn-RS"/>
        </w:rPr>
        <w:t xml:space="preserve">Prosečan </w:t>
      </w:r>
      <w:r w:rsidR="0006116B" w:rsidRPr="00764FC3">
        <w:rPr>
          <w:rFonts w:cstheme="majorHAnsi"/>
          <w:lang w:val="sr-Latn-RS"/>
        </w:rPr>
        <w:t xml:space="preserve">učinak u 8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pr</w:t>
      </w:r>
      <w:r w:rsidR="0006116B" w:rsidRPr="00764FC3">
        <w:rPr>
          <w:rFonts w:cstheme="majorHAnsi"/>
          <w:lang w:val="sr-Latn-RS"/>
        </w:rPr>
        <w:t xml:space="preserve">ocenjenih u okviru oblasti „Pružanje usluga“ je </w:t>
      </w:r>
      <w:r w:rsidR="00487110">
        <w:rPr>
          <w:rFonts w:cstheme="majorHAnsi"/>
          <w:lang w:val="sr-Latn-RS"/>
        </w:rPr>
        <w:t>18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487110">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10162D" w:rsidRPr="00764FC3">
        <w:rPr>
          <w:rFonts w:cstheme="majorHAnsi"/>
          <w:lang w:val="sr-Latn-RS"/>
        </w:rPr>
        <w:t xml:space="preserve"> (</w:t>
      </w:r>
      <w:r w:rsidR="00487110">
        <w:rPr>
          <w:rFonts w:cstheme="majorHAnsi"/>
          <w:lang w:val="sr-Latn-RS"/>
        </w:rPr>
        <w:t>60.00</w:t>
      </w:r>
      <w:r w:rsidR="0010162D" w:rsidRPr="00764FC3">
        <w:rPr>
          <w:rFonts w:cstheme="majorHAnsi"/>
          <w:lang w:val="sr-Latn-RS"/>
        </w:rPr>
        <w:t>%).</w:t>
      </w:r>
    </w:p>
    <w:p w14:paraId="0902D633" w14:textId="6C332900" w:rsidR="0006116B" w:rsidRPr="00764FC3" w:rsidRDefault="00296016" w:rsidP="00FF3BB3">
      <w:pPr>
        <w:rPr>
          <w:rFonts w:eastAsiaTheme="majorEastAsia" w:cstheme="majorBidi"/>
          <w:b/>
          <w:noProof/>
          <w:lang w:val="sr-Latn-RS"/>
        </w:rPr>
      </w:pPr>
      <w:bookmarkStart w:id="37" w:name="_Toc99363474"/>
      <w:r w:rsidRPr="00764FC3">
        <w:rPr>
          <w:rFonts w:eastAsiaTheme="majorEastAsia" w:cstheme="majorBidi"/>
          <w:b/>
          <w:noProof/>
          <w:lang w:val="sr-Latn-RS"/>
        </w:rPr>
        <w:lastRenderedPageBreak/>
        <w:t xml:space="preserve">Pregled </w:t>
      </w:r>
      <w:r w:rsidR="0006116B" w:rsidRPr="00764FC3">
        <w:rPr>
          <w:rFonts w:eastAsiaTheme="majorEastAsia" w:cstheme="majorBidi"/>
          <w:b/>
          <w:noProof/>
          <w:lang w:val="sr-Latn-RS"/>
        </w:rPr>
        <w:t xml:space="preserve">rezultata za </w:t>
      </w:r>
      <w:r w:rsidR="00F41E1B">
        <w:rPr>
          <w:rFonts w:eastAsiaTheme="majorEastAsia" w:cstheme="majorBidi"/>
          <w:b/>
          <w:noProof/>
          <w:lang w:val="sr-Latn-RS"/>
        </w:rPr>
        <w:t>2024</w:t>
      </w:r>
      <w:r w:rsidR="0006116B" w:rsidRPr="00764FC3">
        <w:rPr>
          <w:rFonts w:eastAsiaTheme="majorEastAsia" w:cstheme="majorBidi"/>
          <w:b/>
          <w:noProof/>
          <w:lang w:val="sr-Latn-RS"/>
        </w:rPr>
        <w:t>. godinu grant</w:t>
      </w:r>
      <w:r w:rsidRPr="00764FC3">
        <w:rPr>
          <w:rFonts w:eastAsiaTheme="majorEastAsia" w:cstheme="majorBidi"/>
          <w:b/>
          <w:noProof/>
          <w:lang w:val="sr-Latn-RS"/>
        </w:rPr>
        <w:t>a</w:t>
      </w:r>
      <w:r w:rsidR="0006116B" w:rsidRPr="00764FC3">
        <w:rPr>
          <w:rFonts w:eastAsiaTheme="majorEastAsia" w:cstheme="majorBidi"/>
          <w:b/>
          <w:noProof/>
          <w:lang w:val="sr-Latn-RS"/>
        </w:rPr>
        <w:t xml:space="preserve"> za opštinski učinak - Opština Dragaš</w:t>
      </w:r>
      <w:bookmarkEnd w:id="37"/>
      <w:r w:rsidR="0006116B" w:rsidRPr="00764FC3">
        <w:rPr>
          <w:lang w:val="sr-Latn-RS"/>
        </w:rPr>
        <w:tab/>
      </w:r>
    </w:p>
    <w:p w14:paraId="4CE01B19" w14:textId="2976C1E1" w:rsidR="0006116B" w:rsidRPr="00764FC3" w:rsidRDefault="0006116B" w:rsidP="00FF3BB3">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5C77B139" w14:textId="7FFBED3F" w:rsidR="0006116B" w:rsidRPr="00764FC3" w:rsidRDefault="00487110" w:rsidP="00FF3BB3">
      <w:pPr>
        <w:jc w:val="both"/>
        <w:rPr>
          <w:rFonts w:cstheme="majorHAnsi"/>
          <w:lang w:val="sr-Latn-RS"/>
        </w:rPr>
      </w:pPr>
      <w:r>
        <w:rPr>
          <w:noProof/>
          <w:lang w:val="en-GB" w:eastAsia="en-GB"/>
          <w14:ligatures w14:val="standardContextual"/>
        </w:rPr>
        <w:drawing>
          <wp:anchor distT="0" distB="0" distL="114300" distR="114300" simplePos="0" relativeHeight="251813888" behindDoc="0" locked="0" layoutInCell="1" allowOverlap="1" wp14:anchorId="07E25AEB" wp14:editId="59347D92">
            <wp:simplePos x="0" y="0"/>
            <wp:positionH relativeFrom="column">
              <wp:posOffset>2266950</wp:posOffset>
            </wp:positionH>
            <wp:positionV relativeFrom="paragraph">
              <wp:posOffset>57150</wp:posOffset>
            </wp:positionV>
            <wp:extent cx="3840480" cy="2743200"/>
            <wp:effectExtent l="0" t="0" r="7620" b="0"/>
            <wp:wrapSquare wrapText="bothSides"/>
            <wp:docPr id="27" name="Chart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06116B" w:rsidRPr="00764FC3">
        <w:rPr>
          <w:rFonts w:cstheme="majorHAnsi"/>
          <w:lang w:val="sr-Latn-RS"/>
        </w:rPr>
        <w:t xml:space="preserve">Opština Dragaš se kvalifikovala za </w:t>
      </w:r>
      <w:r w:rsidR="000F06AF" w:rsidRPr="00764FC3">
        <w:rPr>
          <w:rFonts w:cstheme="majorHAnsi"/>
          <w:lang w:val="sr-Latn-RS"/>
        </w:rPr>
        <w:t xml:space="preserve"> grant za opštinski učinak za 202</w:t>
      </w:r>
      <w:r>
        <w:rPr>
          <w:rFonts w:cstheme="majorHAnsi"/>
          <w:lang w:val="sr-Latn-RS"/>
        </w:rPr>
        <w:t>6</w:t>
      </w:r>
      <w:r w:rsidR="000F06AF" w:rsidRPr="00764FC3">
        <w:rPr>
          <w:rFonts w:cstheme="majorHAnsi"/>
          <w:lang w:val="sr-Latn-RS"/>
        </w:rPr>
        <w:t xml:space="preserve">. godinu, na osnovu učinka za </w:t>
      </w:r>
      <w:r w:rsidR="00F41E1B">
        <w:rPr>
          <w:rFonts w:cstheme="majorHAnsi"/>
          <w:lang w:val="sr-Latn-RS"/>
        </w:rPr>
        <w:t>2024</w:t>
      </w:r>
      <w:r w:rsidR="000F06AF" w:rsidRPr="00764FC3">
        <w:rPr>
          <w:rFonts w:cstheme="majorHAnsi"/>
          <w:lang w:val="sr-Latn-RS"/>
        </w:rPr>
        <w:t>. godinu.</w:t>
      </w:r>
      <w:r w:rsidR="00542326" w:rsidRPr="00764FC3">
        <w:rPr>
          <w:rFonts w:cstheme="majorHAnsi"/>
          <w:lang w:val="sr-Latn-RS"/>
        </w:rPr>
        <w:t xml:space="preserve"> </w:t>
      </w:r>
      <w:r w:rsidR="0006116B" w:rsidRPr="00764FC3">
        <w:rPr>
          <w:rFonts w:cstheme="majorHAnsi"/>
          <w:noProof/>
          <w:lang w:val="sr-Latn-RS"/>
        </w:rPr>
        <w:t>Opština je ispunila četiri minimalna uslova.</w:t>
      </w:r>
      <w:r w:rsidR="009275FE" w:rsidRPr="00764FC3">
        <w:rPr>
          <w:rFonts w:cstheme="majorHAnsi"/>
          <w:noProof/>
          <w:lang w:val="en-US"/>
        </w:rPr>
        <w:t xml:space="preserve"> </w:t>
      </w:r>
    </w:p>
    <w:p w14:paraId="1ADBCD83" w14:textId="50528241" w:rsidR="0006116B" w:rsidRPr="00487110" w:rsidRDefault="0006116B" w:rsidP="00487110">
      <w:pPr>
        <w:tabs>
          <w:tab w:val="left" w:pos="1190"/>
        </w:tabs>
        <w:rPr>
          <w:lang w:val="sr-Latn-RS"/>
        </w:rPr>
      </w:pPr>
      <w:r w:rsidRPr="00764FC3">
        <w:rPr>
          <w:b/>
          <w:lang w:val="sr-Latn-RS"/>
        </w:rPr>
        <w:tab/>
      </w:r>
    </w:p>
    <w:p w14:paraId="2A05D2B6" w14:textId="7EC98F8E" w:rsidR="00011A9B" w:rsidRDefault="00011A9B" w:rsidP="00FF3BB3">
      <w:pPr>
        <w:rPr>
          <w:b/>
          <w:bCs/>
          <w:lang w:val="sr-Latn-RS"/>
        </w:rPr>
      </w:pPr>
    </w:p>
    <w:p w14:paraId="15953C97" w14:textId="19422607" w:rsidR="00487110" w:rsidRDefault="00487110" w:rsidP="00FF3BB3">
      <w:pPr>
        <w:rPr>
          <w:b/>
          <w:bCs/>
          <w:lang w:val="sr-Latn-RS"/>
        </w:rPr>
      </w:pPr>
    </w:p>
    <w:p w14:paraId="19B9A4BA" w14:textId="01F1204E" w:rsidR="00487110" w:rsidRDefault="00487110" w:rsidP="00FF3BB3">
      <w:pPr>
        <w:rPr>
          <w:b/>
          <w:bCs/>
          <w:lang w:val="sr-Latn-RS"/>
        </w:rPr>
      </w:pPr>
    </w:p>
    <w:p w14:paraId="1A7114AC" w14:textId="7F32D723" w:rsidR="00487110" w:rsidRDefault="00487110" w:rsidP="00FF3BB3">
      <w:pPr>
        <w:rPr>
          <w:b/>
          <w:bCs/>
          <w:lang w:val="sr-Latn-RS"/>
        </w:rPr>
      </w:pPr>
    </w:p>
    <w:p w14:paraId="5C744396" w14:textId="7351C4A7" w:rsidR="00487110" w:rsidRDefault="00487110" w:rsidP="00FF3BB3">
      <w:pPr>
        <w:rPr>
          <w:b/>
          <w:bCs/>
          <w:lang w:val="sr-Latn-RS"/>
        </w:rPr>
      </w:pPr>
    </w:p>
    <w:p w14:paraId="22F241D7" w14:textId="77777777" w:rsidR="00487110" w:rsidRPr="00764FC3" w:rsidRDefault="00487110" w:rsidP="00FF3BB3">
      <w:pPr>
        <w:rPr>
          <w:b/>
          <w:bCs/>
          <w:lang w:val="sr-Latn-RS"/>
        </w:rPr>
      </w:pPr>
    </w:p>
    <w:p w14:paraId="7D67D2DC" w14:textId="0F3906C3" w:rsidR="0006116B" w:rsidRPr="00764FC3" w:rsidRDefault="00296016" w:rsidP="00FF3BB3">
      <w:pPr>
        <w:rPr>
          <w:b/>
          <w:bCs/>
          <w:lang w:val="sr-Latn-RS"/>
        </w:rPr>
      </w:pPr>
      <w:r w:rsidRPr="00764FC3">
        <w:rPr>
          <w:b/>
          <w:bCs/>
          <w:lang w:val="sr-Latn-RS"/>
        </w:rPr>
        <w:t xml:space="preserve">Procena </w:t>
      </w:r>
      <w:r w:rsidR="0006116B" w:rsidRPr="00764FC3">
        <w:rPr>
          <w:b/>
          <w:bCs/>
          <w:lang w:val="sr-Latn-RS"/>
        </w:rPr>
        <w:t xml:space="preserve">pokazatelja učinka za </w:t>
      </w:r>
      <w:r w:rsidR="00F41E1B">
        <w:rPr>
          <w:b/>
          <w:bCs/>
          <w:lang w:val="sr-Latn-RS"/>
        </w:rPr>
        <w:t>2024</w:t>
      </w:r>
      <w:r w:rsidR="0006116B" w:rsidRPr="00764FC3">
        <w:rPr>
          <w:b/>
          <w:bCs/>
          <w:lang w:val="sr-Latn-RS"/>
        </w:rPr>
        <w:t>. godinu</w:t>
      </w:r>
    </w:p>
    <w:p w14:paraId="61C468C6" w14:textId="0D971D98" w:rsidR="007501B9" w:rsidRPr="00764FC3" w:rsidRDefault="0006116B" w:rsidP="00FF3BB3">
      <w:pPr>
        <w:jc w:val="both"/>
        <w:rPr>
          <w:noProof/>
          <w:lang w:val="sr-Latn-RS"/>
        </w:rPr>
      </w:pPr>
      <w:r w:rsidRPr="00764FC3">
        <w:rPr>
          <w:noProof/>
          <w:lang w:val="sr-Latn-RS"/>
        </w:rPr>
        <w:t xml:space="preserve">Prosečan </w:t>
      </w:r>
      <w:r w:rsidRPr="00764FC3">
        <w:rPr>
          <w:rFonts w:cstheme="majorHAnsi"/>
          <w:lang w:val="sr-Latn-RS"/>
        </w:rPr>
        <w:t xml:space="preserve">učinak </w:t>
      </w:r>
      <w:r w:rsidR="00296016" w:rsidRPr="00764FC3">
        <w:rPr>
          <w:rFonts w:cstheme="majorHAnsi"/>
          <w:lang w:val="sr-Latn-RS"/>
        </w:rPr>
        <w:t xml:space="preserve">Opštine </w:t>
      </w:r>
      <w:r w:rsidRPr="00764FC3">
        <w:rPr>
          <w:rFonts w:cstheme="majorHAnsi"/>
          <w:lang w:val="sr-Latn-RS"/>
        </w:rPr>
        <w:t xml:space="preserve">Dragaš u </w:t>
      </w:r>
      <w:r w:rsidR="00487110">
        <w:rPr>
          <w:rFonts w:cstheme="majorHAnsi"/>
          <w:lang w:val="sr-Latn-RS"/>
        </w:rPr>
        <w:t>29</w:t>
      </w:r>
      <w:r w:rsidRPr="00764FC3">
        <w:rPr>
          <w:rFonts w:cstheme="majorHAnsi"/>
          <w:lang w:val="sr-Latn-RS"/>
        </w:rPr>
        <w:t xml:space="preserve"> </w:t>
      </w:r>
      <w:r w:rsidR="00296016" w:rsidRPr="00764FC3">
        <w:rPr>
          <w:rFonts w:cstheme="majorHAnsi"/>
          <w:lang w:val="sr-Latn-RS"/>
        </w:rPr>
        <w:t>pr</w:t>
      </w:r>
      <w:r w:rsidRPr="00764FC3">
        <w:rPr>
          <w:rFonts w:cstheme="majorHAnsi"/>
          <w:lang w:val="sr-Latn-RS"/>
        </w:rPr>
        <w:t xml:space="preserve">ocenjenih </w:t>
      </w:r>
      <w:r w:rsidR="005A35F3" w:rsidRPr="00764FC3">
        <w:rPr>
          <w:rFonts w:cstheme="majorHAnsi"/>
          <w:lang w:val="sr-Latn-RS"/>
        </w:rPr>
        <w:t>pokazatelj</w:t>
      </w:r>
      <w:r w:rsidRPr="00764FC3">
        <w:rPr>
          <w:rFonts w:cstheme="majorHAnsi"/>
          <w:lang w:val="sr-Latn-RS"/>
        </w:rPr>
        <w:t xml:space="preserve">a je 54 </w:t>
      </w:r>
      <w:r w:rsidR="005A35F3" w:rsidRPr="00764FC3">
        <w:rPr>
          <w:rFonts w:cstheme="majorHAnsi"/>
          <w:lang w:val="sr-Latn-RS"/>
        </w:rPr>
        <w:t>bodova</w:t>
      </w:r>
      <w:r w:rsidRPr="00764FC3">
        <w:rPr>
          <w:rFonts w:cstheme="majorHAnsi"/>
          <w:lang w:val="sr-Latn-RS"/>
        </w:rPr>
        <w:t xml:space="preserve"> od ukupno 9</w:t>
      </w:r>
      <w:r w:rsidR="00487110">
        <w:rPr>
          <w:rFonts w:cstheme="majorHAnsi"/>
          <w:lang w:val="sr-Latn-RS"/>
        </w:rPr>
        <w:t>8</w:t>
      </w:r>
      <w:r w:rsidRPr="00764FC3">
        <w:rPr>
          <w:rFonts w:cstheme="majorHAnsi"/>
          <w:lang w:val="sr-Latn-RS"/>
        </w:rPr>
        <w:t xml:space="preserve"> mogućih </w:t>
      </w:r>
      <w:r w:rsidR="005A35F3" w:rsidRPr="00764FC3">
        <w:rPr>
          <w:rFonts w:cstheme="majorHAnsi"/>
          <w:lang w:val="sr-Latn-RS"/>
        </w:rPr>
        <w:t>bodova</w:t>
      </w:r>
      <w:r w:rsidRPr="00764FC3">
        <w:rPr>
          <w:rFonts w:cstheme="majorHAnsi"/>
          <w:lang w:val="sr-Latn-RS"/>
        </w:rPr>
        <w:t xml:space="preserve"> (</w:t>
      </w:r>
      <w:r w:rsidR="00487110">
        <w:rPr>
          <w:rFonts w:cstheme="majorHAnsi"/>
          <w:lang w:val="sr-Latn-RS"/>
        </w:rPr>
        <w:t>61.22</w:t>
      </w:r>
      <w:r w:rsidRPr="00764FC3">
        <w:rPr>
          <w:rFonts w:cstheme="majorHAnsi"/>
          <w:lang w:val="sr-Latn-RS"/>
        </w:rPr>
        <w:t>%).</w:t>
      </w:r>
      <w:r w:rsidRPr="00764FC3">
        <w:rPr>
          <w:noProof/>
          <w:lang w:val="sr-Latn-RS"/>
        </w:rPr>
        <w:t xml:space="preserve"> </w:t>
      </w:r>
    </w:p>
    <w:p w14:paraId="14C15E60" w14:textId="6D01BAEC" w:rsidR="0006116B" w:rsidRPr="00764FC3" w:rsidRDefault="00487110" w:rsidP="00FF3BB3">
      <w:pPr>
        <w:jc w:val="both"/>
        <w:rPr>
          <w:rFonts w:cstheme="majorHAnsi"/>
          <w:lang w:val="sr-Latn-RS"/>
        </w:rPr>
      </w:pPr>
      <w:r>
        <w:rPr>
          <w:noProof/>
          <w:lang w:val="en-GB" w:eastAsia="en-GB"/>
          <w14:ligatures w14:val="standardContextual"/>
        </w:rPr>
        <w:drawing>
          <wp:anchor distT="0" distB="0" distL="114300" distR="114300" simplePos="0" relativeHeight="251814912" behindDoc="0" locked="0" layoutInCell="1" allowOverlap="1" wp14:anchorId="378B2ADD" wp14:editId="2BB76491">
            <wp:simplePos x="0" y="0"/>
            <wp:positionH relativeFrom="column">
              <wp:posOffset>2266950</wp:posOffset>
            </wp:positionH>
            <wp:positionV relativeFrom="paragraph">
              <wp:posOffset>243205</wp:posOffset>
            </wp:positionV>
            <wp:extent cx="3840480" cy="2743200"/>
            <wp:effectExtent l="0" t="0" r="7620" b="0"/>
            <wp:wrapSquare wrapText="bothSides"/>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296016" w:rsidRPr="00764FC3">
        <w:rPr>
          <w:noProof/>
          <w:lang w:val="sr-Latn-RS"/>
        </w:rPr>
        <w:t xml:space="preserve">Prosečan </w:t>
      </w:r>
      <w:r w:rsidR="0006116B" w:rsidRPr="00764FC3">
        <w:rPr>
          <w:rFonts w:cstheme="majorHAnsi"/>
          <w:lang w:val="sr-Latn-RS"/>
        </w:rPr>
        <w:t>učinak u 1</w:t>
      </w:r>
      <w:r>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296016"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Pr>
          <w:rFonts w:cstheme="majorHAnsi"/>
          <w:lang w:val="sr-Latn-RS"/>
        </w:rPr>
        <w:t>37</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92.50</w:t>
      </w:r>
      <w:r w:rsidR="0006116B" w:rsidRPr="00764FC3">
        <w:rPr>
          <w:rFonts w:cstheme="majorHAnsi"/>
          <w:lang w:val="sr-Latn-RS"/>
        </w:rPr>
        <w:t>%).</w:t>
      </w:r>
    </w:p>
    <w:p w14:paraId="594E56A6" w14:textId="0EF21FC9" w:rsidR="0006116B" w:rsidRPr="00764FC3" w:rsidRDefault="00296016" w:rsidP="00FF3BB3">
      <w:pPr>
        <w:jc w:val="both"/>
        <w:rPr>
          <w:rFonts w:cstheme="majorHAnsi"/>
          <w:lang w:val="sr-Latn-RS"/>
        </w:rPr>
      </w:pPr>
      <w:r w:rsidRPr="00764FC3">
        <w:rPr>
          <w:noProof/>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„Opštinsko upravljanje“ je 9 </w:t>
      </w:r>
      <w:r w:rsidR="005A35F3" w:rsidRPr="00764FC3">
        <w:rPr>
          <w:rFonts w:cstheme="majorHAnsi"/>
          <w:lang w:val="sr-Latn-RS"/>
        </w:rPr>
        <w:t>bodova</w:t>
      </w:r>
      <w:r w:rsidR="0006116B" w:rsidRPr="00764FC3">
        <w:rPr>
          <w:rFonts w:cstheme="majorHAnsi"/>
          <w:lang w:val="sr-Latn-RS"/>
        </w:rPr>
        <w:t xml:space="preserve"> od ukupno </w:t>
      </w:r>
      <w:r w:rsidR="00487110">
        <w:rPr>
          <w:rFonts w:cstheme="majorHAnsi"/>
          <w:lang w:val="sr-Latn-RS"/>
        </w:rPr>
        <w:t>28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487110">
        <w:rPr>
          <w:rFonts w:cstheme="majorHAnsi"/>
          <w:lang w:val="sr-Latn-RS"/>
        </w:rPr>
        <w:t>32.14</w:t>
      </w:r>
      <w:r w:rsidR="0006116B" w:rsidRPr="00764FC3">
        <w:rPr>
          <w:rFonts w:cstheme="majorHAnsi"/>
          <w:lang w:val="sr-Latn-RS"/>
        </w:rPr>
        <w:t>%).</w:t>
      </w:r>
    </w:p>
    <w:p w14:paraId="2D5F0CFA" w14:textId="010F3ECB" w:rsidR="0006116B" w:rsidRPr="00764FC3" w:rsidRDefault="00296016" w:rsidP="00FF3BB3">
      <w:pPr>
        <w:jc w:val="both"/>
        <w:rPr>
          <w:rFonts w:cstheme="majorHAnsi"/>
          <w:lang w:val="sr-Latn-RS"/>
        </w:rPr>
      </w:pPr>
      <w:r w:rsidRPr="00764FC3">
        <w:rPr>
          <w:noProof/>
          <w:lang w:val="sr-Latn-RS"/>
        </w:rPr>
        <w:t xml:space="preserve">Prosečan </w:t>
      </w:r>
      <w:r w:rsidR="0006116B" w:rsidRPr="00764FC3">
        <w:rPr>
          <w:rFonts w:cstheme="majorHAnsi"/>
          <w:lang w:val="sr-Latn-RS"/>
        </w:rPr>
        <w:t xml:space="preserve">učinak u </w:t>
      </w:r>
      <w:r w:rsidR="00487110">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„Pružanje usluga“ je </w:t>
      </w:r>
      <w:r w:rsidR="00487110">
        <w:rPr>
          <w:rFonts w:cstheme="majorHAnsi"/>
          <w:lang w:val="sr-Latn-RS"/>
        </w:rPr>
        <w:t>14</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487110">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487110">
        <w:rPr>
          <w:rFonts w:cstheme="majorHAnsi"/>
          <w:lang w:val="sr-Latn-RS"/>
        </w:rPr>
        <w:t>46.67</w:t>
      </w:r>
      <w:r w:rsidR="0006116B" w:rsidRPr="00764FC3">
        <w:rPr>
          <w:rFonts w:cstheme="majorHAnsi"/>
          <w:lang w:val="sr-Latn-RS"/>
        </w:rPr>
        <w:t>%).</w:t>
      </w:r>
    </w:p>
    <w:p w14:paraId="32819129" w14:textId="77777777" w:rsidR="0006116B" w:rsidRPr="00764FC3" w:rsidRDefault="0006116B" w:rsidP="00FF3BB3">
      <w:pPr>
        <w:rPr>
          <w:lang w:val="sr-Latn-RS"/>
        </w:rPr>
      </w:pPr>
    </w:p>
    <w:p w14:paraId="2FAAB088"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424314B1" w14:textId="266F1E38" w:rsidR="0006116B" w:rsidRPr="00764FC3" w:rsidRDefault="00296016" w:rsidP="00FF3BB3">
      <w:pPr>
        <w:rPr>
          <w:rFonts w:eastAsiaTheme="majorEastAsia" w:cstheme="majorBidi"/>
          <w:b/>
          <w:noProof/>
          <w:lang w:val="sr-Latn-RS"/>
        </w:rPr>
      </w:pPr>
      <w:r w:rsidRPr="00764FC3">
        <w:rPr>
          <w:rFonts w:eastAsiaTheme="majorEastAsia" w:cstheme="majorBidi"/>
          <w:b/>
          <w:noProof/>
          <w:lang w:val="sr-Latn-RS"/>
        </w:rPr>
        <w:lastRenderedPageBreak/>
        <w:t xml:space="preserve">Pregled </w:t>
      </w:r>
      <w:r w:rsidR="0006116B" w:rsidRPr="00764FC3">
        <w:rPr>
          <w:rFonts w:eastAsiaTheme="majorEastAsia" w:cstheme="majorBidi"/>
          <w:b/>
          <w:noProof/>
          <w:lang w:val="sr-Latn-RS"/>
        </w:rPr>
        <w:t xml:space="preserve">rezultata za </w:t>
      </w:r>
      <w:r w:rsidR="00F41E1B">
        <w:rPr>
          <w:rFonts w:eastAsiaTheme="majorEastAsia" w:cstheme="majorBidi"/>
          <w:b/>
          <w:noProof/>
          <w:lang w:val="sr-Latn-RS"/>
        </w:rPr>
        <w:t>2024</w:t>
      </w:r>
      <w:r w:rsidR="0006116B" w:rsidRPr="00764FC3">
        <w:rPr>
          <w:rFonts w:eastAsiaTheme="majorEastAsia" w:cstheme="majorBidi"/>
          <w:b/>
          <w:noProof/>
          <w:lang w:val="sr-Latn-RS"/>
        </w:rPr>
        <w:t>. godinu za grant</w:t>
      </w:r>
      <w:r w:rsidRPr="00764FC3">
        <w:rPr>
          <w:rFonts w:eastAsiaTheme="majorEastAsia" w:cstheme="majorBidi"/>
          <w:b/>
          <w:noProof/>
          <w:lang w:val="sr-Latn-RS"/>
        </w:rPr>
        <w:t>a</w:t>
      </w:r>
      <w:r w:rsidR="0006116B" w:rsidRPr="00764FC3">
        <w:rPr>
          <w:rFonts w:eastAsiaTheme="majorEastAsia" w:cstheme="majorBidi"/>
          <w:b/>
          <w:noProof/>
          <w:lang w:val="sr-Latn-RS"/>
        </w:rPr>
        <w:t xml:space="preserve"> za opštinski učinak - Opština Uroševac</w:t>
      </w:r>
    </w:p>
    <w:p w14:paraId="227DA87D" w14:textId="38CCF3FA" w:rsidR="0006116B" w:rsidRPr="00764FC3" w:rsidRDefault="0006116B" w:rsidP="00FF3BB3">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49B58340" w14:textId="5120A77E" w:rsidR="0006116B" w:rsidRPr="00764FC3" w:rsidRDefault="00487110" w:rsidP="00FF3BB3">
      <w:pPr>
        <w:jc w:val="both"/>
        <w:rPr>
          <w:rFonts w:cstheme="majorHAnsi"/>
          <w:noProof/>
          <w:lang w:val="sr-Latn-RS" w:eastAsia="sr-Latn-RS"/>
        </w:rPr>
      </w:pPr>
      <w:r>
        <w:rPr>
          <w:noProof/>
          <w:lang w:val="en-GB" w:eastAsia="en-GB"/>
          <w14:ligatures w14:val="standardContextual"/>
        </w:rPr>
        <w:drawing>
          <wp:anchor distT="0" distB="0" distL="114300" distR="114300" simplePos="0" relativeHeight="251815936" behindDoc="0" locked="0" layoutInCell="1" allowOverlap="1" wp14:anchorId="7938053F" wp14:editId="6A31D54F">
            <wp:simplePos x="0" y="0"/>
            <wp:positionH relativeFrom="column">
              <wp:posOffset>1943100</wp:posOffset>
            </wp:positionH>
            <wp:positionV relativeFrom="paragraph">
              <wp:posOffset>28575</wp:posOffset>
            </wp:positionV>
            <wp:extent cx="3840480" cy="2743200"/>
            <wp:effectExtent l="0" t="0" r="7620" b="0"/>
            <wp:wrapSquare wrapText="bothSides"/>
            <wp:docPr id="29" name="Chart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sidR="0006116B" w:rsidRPr="00764FC3">
        <w:rPr>
          <w:rFonts w:cstheme="majorHAnsi"/>
          <w:lang w:val="sr-Latn-RS"/>
        </w:rPr>
        <w:t xml:space="preserve">Opština Uroševac se nije kvalifikovala </w:t>
      </w:r>
      <w:r w:rsidR="00290C98" w:rsidRPr="00764FC3">
        <w:rPr>
          <w:rFonts w:cstheme="majorHAnsi"/>
          <w:lang w:val="sr-Latn-RS"/>
        </w:rPr>
        <w:t>za grant za opštinski učinak za 202</w:t>
      </w:r>
      <w:r>
        <w:rPr>
          <w:rFonts w:cstheme="majorHAnsi"/>
          <w:lang w:val="sr-Latn-RS"/>
        </w:rPr>
        <w:t>6</w:t>
      </w:r>
      <w:r w:rsidR="00290C98" w:rsidRPr="00764FC3">
        <w:rPr>
          <w:rFonts w:cstheme="majorHAnsi"/>
          <w:lang w:val="sr-Latn-RS"/>
        </w:rPr>
        <w:t xml:space="preserve">. godinu, na osnovu učinka za </w:t>
      </w:r>
      <w:r w:rsidR="00F41E1B">
        <w:rPr>
          <w:rFonts w:cstheme="majorHAnsi"/>
          <w:lang w:val="sr-Latn-RS"/>
        </w:rPr>
        <w:t>2024</w:t>
      </w:r>
      <w:r w:rsidR="00290C98" w:rsidRPr="00764FC3">
        <w:rPr>
          <w:rFonts w:cstheme="majorHAnsi"/>
          <w:lang w:val="sr-Latn-RS"/>
        </w:rPr>
        <w:t>. godinu.</w:t>
      </w:r>
      <w:r w:rsidR="00641355" w:rsidRPr="00764FC3">
        <w:rPr>
          <w:rFonts w:cstheme="majorHAnsi"/>
          <w:noProof/>
          <w:lang w:val="en-US"/>
        </w:rPr>
        <w:t xml:space="preserve"> </w:t>
      </w:r>
    </w:p>
    <w:p w14:paraId="5378FECC" w14:textId="7DFADB82" w:rsidR="0006116B" w:rsidRPr="00764FC3" w:rsidRDefault="0006116B" w:rsidP="00FF3BB3">
      <w:pPr>
        <w:jc w:val="both"/>
        <w:rPr>
          <w:rFonts w:cstheme="majorHAnsi"/>
          <w:lang w:val="sr-Latn-RS"/>
        </w:rPr>
      </w:pPr>
      <w:bookmarkStart w:id="38" w:name="_Hlk114221538"/>
      <w:r w:rsidRPr="00764FC3">
        <w:rPr>
          <w:rFonts w:cstheme="majorHAnsi"/>
          <w:lang w:val="sr-Latn-RS"/>
        </w:rPr>
        <w:t xml:space="preserve">Minimalni uslov broj 3 (revizorsko mišljenje </w:t>
      </w:r>
      <w:r w:rsidR="00296016" w:rsidRPr="00764FC3">
        <w:rPr>
          <w:rFonts w:cstheme="majorHAnsi"/>
          <w:lang w:val="sr-Latn-RS"/>
        </w:rPr>
        <w:t xml:space="preserve">treba da bude u </w:t>
      </w:r>
      <w:r w:rsidRPr="00764FC3">
        <w:rPr>
          <w:rFonts w:cstheme="majorHAnsi"/>
          <w:lang w:val="sr-Latn-RS"/>
        </w:rPr>
        <w:t>najman</w:t>
      </w:r>
      <w:r w:rsidR="00296016" w:rsidRPr="00764FC3">
        <w:rPr>
          <w:rFonts w:cstheme="majorHAnsi"/>
          <w:lang w:val="sr-Latn-RS"/>
        </w:rPr>
        <w:t>ju ruku</w:t>
      </w:r>
      <w:r w:rsidRPr="00764FC3">
        <w:rPr>
          <w:rFonts w:cstheme="majorHAnsi"/>
          <w:lang w:val="sr-Latn-RS"/>
        </w:rPr>
        <w:t xml:space="preserve"> ne</w:t>
      </w:r>
      <w:r w:rsidR="00296016" w:rsidRPr="00764FC3">
        <w:rPr>
          <w:rFonts w:cstheme="majorHAnsi"/>
          <w:lang w:val="sr-Latn-RS"/>
        </w:rPr>
        <w:t xml:space="preserve">izmenjeno </w:t>
      </w:r>
      <w:r w:rsidRPr="00764FC3">
        <w:rPr>
          <w:rFonts w:cstheme="majorHAnsi"/>
          <w:lang w:val="sr-Latn-RS"/>
        </w:rPr>
        <w:t xml:space="preserve">sa isticanjem </w:t>
      </w:r>
      <w:r w:rsidR="00296016" w:rsidRPr="00764FC3">
        <w:rPr>
          <w:rFonts w:cstheme="majorHAnsi"/>
          <w:lang w:val="sr-Latn-RS"/>
        </w:rPr>
        <w:t>pitanja</w:t>
      </w:r>
      <w:r w:rsidRPr="00764FC3">
        <w:rPr>
          <w:rFonts w:cstheme="majorHAnsi"/>
          <w:lang w:val="sr-Latn-RS"/>
        </w:rPr>
        <w:t>) nije ispunjen.</w:t>
      </w:r>
    </w:p>
    <w:bookmarkEnd w:id="38"/>
    <w:p w14:paraId="63D3BC10" w14:textId="77777777" w:rsidR="0006116B" w:rsidRPr="00764FC3" w:rsidRDefault="0006116B" w:rsidP="00FF3BB3">
      <w:pPr>
        <w:tabs>
          <w:tab w:val="left" w:pos="1190"/>
        </w:tabs>
        <w:rPr>
          <w:b/>
          <w:lang w:val="sr-Latn-RS"/>
        </w:rPr>
      </w:pPr>
      <w:r w:rsidRPr="00764FC3">
        <w:rPr>
          <w:b/>
          <w:lang w:val="sr-Latn-RS"/>
        </w:rPr>
        <w:tab/>
      </w:r>
    </w:p>
    <w:p w14:paraId="2BDA82E8" w14:textId="77777777" w:rsidR="0006116B" w:rsidRPr="00764FC3" w:rsidRDefault="0006116B" w:rsidP="00FF3BB3">
      <w:pPr>
        <w:tabs>
          <w:tab w:val="left" w:pos="1190"/>
        </w:tabs>
        <w:rPr>
          <w:lang w:val="sr-Latn-RS"/>
        </w:rPr>
      </w:pPr>
    </w:p>
    <w:p w14:paraId="4B72EDE6" w14:textId="77777777" w:rsidR="0006116B" w:rsidRPr="00764FC3" w:rsidRDefault="0006116B" w:rsidP="00FF3BB3">
      <w:pPr>
        <w:tabs>
          <w:tab w:val="left" w:pos="1190"/>
        </w:tabs>
        <w:rPr>
          <w:lang w:val="sr-Latn-RS"/>
        </w:rPr>
      </w:pPr>
    </w:p>
    <w:p w14:paraId="131D6F7E" w14:textId="20CC353D" w:rsidR="0006116B" w:rsidRPr="00764FC3" w:rsidRDefault="00296016"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6B4AED91" w14:textId="514A1AB1" w:rsidR="0006116B" w:rsidRPr="00764FC3" w:rsidRDefault="00296016" w:rsidP="00FF3BB3">
      <w:pPr>
        <w:jc w:val="both"/>
        <w:rPr>
          <w:rFonts w:cstheme="majorHAnsi"/>
          <w:lang w:val="sr-Latn-RS"/>
        </w:rPr>
      </w:pPr>
      <w:r w:rsidRPr="00764FC3">
        <w:rPr>
          <w:rFonts w:cstheme="majorHAnsi"/>
          <w:lang w:val="sr-Latn-RS"/>
        </w:rPr>
        <w:t>Pro</w:t>
      </w:r>
      <w:r w:rsidR="007033C5" w:rsidRPr="00764FC3">
        <w:rPr>
          <w:rFonts w:cstheme="majorHAnsi"/>
          <w:lang w:val="sr-Latn-RS"/>
        </w:rPr>
        <w:t xml:space="preserve">sečni </w:t>
      </w:r>
      <w:r w:rsidRPr="00764FC3">
        <w:rPr>
          <w:rFonts w:cstheme="majorHAnsi"/>
          <w:lang w:val="sr-Latn-RS"/>
        </w:rPr>
        <w:t>učin</w:t>
      </w:r>
      <w:r w:rsidR="007033C5" w:rsidRPr="00764FC3">
        <w:rPr>
          <w:rFonts w:cstheme="majorHAnsi"/>
          <w:lang w:val="sr-Latn-RS"/>
        </w:rPr>
        <w:t>a</w:t>
      </w:r>
      <w:r w:rsidRPr="00764FC3">
        <w:rPr>
          <w:rFonts w:cstheme="majorHAnsi"/>
          <w:lang w:val="sr-Latn-RS"/>
        </w:rPr>
        <w:t>k</w:t>
      </w:r>
      <w:r w:rsidR="0006116B" w:rsidRPr="00764FC3">
        <w:rPr>
          <w:rFonts w:cstheme="majorHAnsi"/>
          <w:lang w:val="sr-Latn-RS"/>
        </w:rPr>
        <w:t xml:space="preserve"> </w:t>
      </w:r>
      <w:r w:rsidRPr="00764FC3">
        <w:rPr>
          <w:rFonts w:cstheme="majorHAnsi"/>
          <w:lang w:val="sr-Latn-RS"/>
        </w:rPr>
        <w:t xml:space="preserve">Opštine </w:t>
      </w:r>
      <w:r w:rsidR="0006116B" w:rsidRPr="00764FC3">
        <w:rPr>
          <w:rFonts w:cstheme="majorHAnsi"/>
          <w:lang w:val="sr-Latn-RS"/>
        </w:rPr>
        <w:t xml:space="preserve">Uroševac u </w:t>
      </w:r>
      <w:r w:rsidR="00487110">
        <w:rPr>
          <w:rFonts w:cstheme="majorHAnsi"/>
          <w:lang w:val="sr-Latn-RS"/>
        </w:rPr>
        <w:t>29</w:t>
      </w:r>
      <w:r w:rsidR="0006116B" w:rsidRPr="00764FC3">
        <w:rPr>
          <w:rFonts w:cstheme="majorHAnsi"/>
          <w:lang w:val="sr-Latn-RS"/>
        </w:rPr>
        <w:t xml:space="preserve"> </w:t>
      </w:r>
      <w:r w:rsidRPr="00764FC3">
        <w:rPr>
          <w:rFonts w:cstheme="majorHAnsi"/>
          <w:lang w:val="sr-Latn-RS"/>
        </w:rPr>
        <w:t xml:space="preserve">procenjenih </w:t>
      </w:r>
      <w:r w:rsidR="005A35F3" w:rsidRPr="00764FC3">
        <w:rPr>
          <w:rFonts w:cstheme="majorHAnsi"/>
          <w:lang w:val="sr-Latn-RS"/>
        </w:rPr>
        <w:t>pokazatelj</w:t>
      </w:r>
      <w:r w:rsidR="0006116B" w:rsidRPr="00764FC3">
        <w:rPr>
          <w:rFonts w:cstheme="majorHAnsi"/>
          <w:lang w:val="sr-Latn-RS"/>
        </w:rPr>
        <w:t>a je 5</w:t>
      </w:r>
      <w:r w:rsidR="00487110">
        <w:rPr>
          <w:rFonts w:cstheme="majorHAnsi"/>
          <w:lang w:val="sr-Latn-RS"/>
        </w:rPr>
        <w:t>9</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sidR="00487110">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487110">
        <w:rPr>
          <w:rFonts w:cstheme="majorHAnsi"/>
          <w:lang w:val="sr-Latn-RS"/>
        </w:rPr>
        <w:t>60.20</w:t>
      </w:r>
      <w:r w:rsidR="0006116B" w:rsidRPr="00764FC3">
        <w:rPr>
          <w:rFonts w:cstheme="majorHAnsi"/>
          <w:lang w:val="sr-Latn-RS"/>
        </w:rPr>
        <w:t>%).</w:t>
      </w:r>
      <w:r w:rsidR="0006116B" w:rsidRPr="00764FC3">
        <w:rPr>
          <w:noProof/>
          <w:lang w:val="sr-Latn-RS"/>
        </w:rPr>
        <w:t xml:space="preserve"> </w:t>
      </w:r>
    </w:p>
    <w:p w14:paraId="3488C7BE" w14:textId="52FA39B5" w:rsidR="0006116B" w:rsidRPr="00764FC3" w:rsidRDefault="00487110" w:rsidP="00FF3BB3">
      <w:pPr>
        <w:jc w:val="both"/>
        <w:rPr>
          <w:rFonts w:cstheme="majorHAnsi"/>
          <w:lang w:val="sr-Latn-RS"/>
        </w:rPr>
      </w:pPr>
      <w:r>
        <w:rPr>
          <w:noProof/>
          <w:lang w:val="en-GB" w:eastAsia="en-GB"/>
          <w14:ligatures w14:val="standardContextual"/>
        </w:rPr>
        <w:drawing>
          <wp:anchor distT="0" distB="0" distL="114300" distR="114300" simplePos="0" relativeHeight="251816960" behindDoc="0" locked="0" layoutInCell="1" allowOverlap="1" wp14:anchorId="3DFB100F" wp14:editId="23FAFFA8">
            <wp:simplePos x="0" y="0"/>
            <wp:positionH relativeFrom="column">
              <wp:posOffset>1895475</wp:posOffset>
            </wp:positionH>
            <wp:positionV relativeFrom="paragraph">
              <wp:posOffset>201930</wp:posOffset>
            </wp:positionV>
            <wp:extent cx="3840480" cy="2743200"/>
            <wp:effectExtent l="0" t="0" r="7620" b="0"/>
            <wp:wrapSquare wrapText="bothSides"/>
            <wp:docPr id="30" name="Chart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7033C5" w:rsidRPr="00764FC3">
        <w:rPr>
          <w:rFonts w:cstheme="majorHAnsi"/>
          <w:lang w:val="sr-Latn-RS"/>
        </w:rPr>
        <w:t xml:space="preserve">Prosečni </w:t>
      </w:r>
      <w:r w:rsidR="0006116B" w:rsidRPr="00764FC3">
        <w:rPr>
          <w:rFonts w:cstheme="majorHAnsi"/>
          <w:lang w:val="sr-Latn-RS"/>
        </w:rPr>
        <w:t>učinak u 1</w:t>
      </w:r>
      <w:r>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296016" w:rsidRPr="00764FC3">
        <w:rPr>
          <w:rFonts w:cstheme="majorHAnsi"/>
          <w:lang w:val="sr-Latn-RS"/>
        </w:rPr>
        <w:t xml:space="preserve">procenjenih </w:t>
      </w:r>
      <w:r w:rsidR="0006116B" w:rsidRPr="00764FC3">
        <w:rPr>
          <w:rFonts w:cstheme="majorHAnsi"/>
          <w:lang w:val="sr-Latn-RS"/>
        </w:rPr>
        <w:t>u okviru oblasti „Demokratsko upravljanje“ iznosi 2</w:t>
      </w:r>
      <w:r>
        <w:rPr>
          <w:rFonts w:cstheme="majorHAnsi"/>
          <w:lang w:val="sr-Latn-RS"/>
        </w:rPr>
        <w:t>8</w:t>
      </w:r>
      <w:r w:rsidR="0006116B" w:rsidRPr="00764FC3">
        <w:rPr>
          <w:rFonts w:cstheme="majorHAnsi"/>
          <w:lang w:val="sr-Latn-RS"/>
        </w:rPr>
        <w:t xml:space="preserve"> poen od ukupno </w:t>
      </w:r>
      <w:r>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70.00</w:t>
      </w:r>
      <w:r w:rsidR="0006116B" w:rsidRPr="00764FC3">
        <w:rPr>
          <w:rFonts w:cstheme="majorHAnsi"/>
          <w:lang w:val="sr-Latn-RS"/>
        </w:rPr>
        <w:t>%).</w:t>
      </w:r>
    </w:p>
    <w:p w14:paraId="7E63856F" w14:textId="012A9E3D"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w:t>
      </w:r>
      <w:r w:rsidR="00487110">
        <w:rPr>
          <w:rFonts w:cstheme="majorHAnsi"/>
          <w:lang w:val="sr-Latn-RS"/>
        </w:rPr>
        <w:t>7</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296016"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487110">
        <w:rPr>
          <w:rFonts w:cstheme="majorHAnsi"/>
          <w:lang w:val="sr-Latn-RS"/>
        </w:rPr>
        <w:t>16</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487110">
        <w:rPr>
          <w:rFonts w:cstheme="majorHAnsi"/>
          <w:lang w:val="sr-Latn-RS"/>
        </w:rPr>
        <w:t>28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57.14</w:t>
      </w:r>
      <w:r w:rsidR="0006116B" w:rsidRPr="00764FC3">
        <w:rPr>
          <w:rFonts w:cstheme="majorHAnsi"/>
          <w:lang w:val="sr-Latn-RS"/>
        </w:rPr>
        <w:t>%).</w:t>
      </w:r>
    </w:p>
    <w:p w14:paraId="4B02E31E" w14:textId="327DF9D3"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w:t>
      </w:r>
      <w:r w:rsidR="002D02D7">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296016" w:rsidRPr="00764FC3">
        <w:rPr>
          <w:rFonts w:cstheme="majorHAnsi"/>
          <w:lang w:val="sr-Latn-RS"/>
        </w:rPr>
        <w:t xml:space="preserve">procenjenih </w:t>
      </w:r>
      <w:r w:rsidR="0006116B" w:rsidRPr="00764FC3">
        <w:rPr>
          <w:rFonts w:cstheme="majorHAnsi"/>
          <w:lang w:val="sr-Latn-RS"/>
        </w:rPr>
        <w:t xml:space="preserve">u okviru oblasti „Pružanje usluga“ je </w:t>
      </w:r>
      <w:r w:rsidR="002D02D7">
        <w:rPr>
          <w:rFonts w:cstheme="majorHAnsi"/>
          <w:lang w:val="sr-Latn-RS"/>
        </w:rPr>
        <w:t>15</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2D02D7">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50.00</w:t>
      </w:r>
      <w:r w:rsidR="0006116B" w:rsidRPr="00764FC3">
        <w:rPr>
          <w:rFonts w:cstheme="majorHAnsi"/>
          <w:lang w:val="sr-Latn-RS"/>
        </w:rPr>
        <w:t>%).</w:t>
      </w:r>
      <w:r w:rsidRPr="00764FC3">
        <w:rPr>
          <w:rFonts w:cstheme="majorHAnsi"/>
          <w:lang w:val="sr-Latn-RS"/>
        </w:rPr>
        <w:t xml:space="preserve"> </w:t>
      </w:r>
    </w:p>
    <w:p w14:paraId="48CFD009" w14:textId="77777777" w:rsidR="0006116B" w:rsidRPr="00764FC3" w:rsidRDefault="0006116B" w:rsidP="00FF3BB3">
      <w:pPr>
        <w:jc w:val="both"/>
        <w:rPr>
          <w:lang w:val="sr-Latn-RS"/>
        </w:rPr>
      </w:pPr>
    </w:p>
    <w:p w14:paraId="676CD6D0"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5579D8D4" w14:textId="1A89E489" w:rsidR="0006116B" w:rsidRPr="00764FC3" w:rsidRDefault="007033C5" w:rsidP="00FF3BB3">
      <w:pPr>
        <w:rPr>
          <w:rFonts w:eastAsiaTheme="majorEastAsia" w:cstheme="majorBidi"/>
          <w:b/>
          <w:noProof/>
          <w:lang w:val="sr-Latn-RS"/>
        </w:rPr>
      </w:pPr>
      <w:r w:rsidRPr="00764FC3">
        <w:rPr>
          <w:rFonts w:eastAsiaTheme="majorEastAsia" w:cstheme="majorBidi"/>
          <w:b/>
          <w:noProof/>
          <w:lang w:val="sr-Latn-RS"/>
        </w:rPr>
        <w:lastRenderedPageBreak/>
        <w:t xml:space="preserve">Pregled </w:t>
      </w:r>
      <w:r w:rsidR="0006116B" w:rsidRPr="00764FC3">
        <w:rPr>
          <w:rFonts w:eastAsiaTheme="majorEastAsia" w:cstheme="majorBidi"/>
          <w:b/>
          <w:noProof/>
          <w:lang w:val="sr-Latn-RS"/>
        </w:rPr>
        <w:t xml:space="preserve">rezultata za </w:t>
      </w:r>
      <w:r w:rsidR="00F41E1B">
        <w:rPr>
          <w:rFonts w:eastAsiaTheme="majorEastAsia" w:cstheme="majorBidi"/>
          <w:b/>
          <w:noProof/>
          <w:lang w:val="sr-Latn-RS"/>
        </w:rPr>
        <w:t>2024</w:t>
      </w:r>
      <w:r w:rsidR="0006116B" w:rsidRPr="00764FC3">
        <w:rPr>
          <w:rFonts w:eastAsiaTheme="majorEastAsia" w:cstheme="majorBidi"/>
          <w:b/>
          <w:noProof/>
          <w:lang w:val="sr-Latn-RS"/>
        </w:rPr>
        <w:t>. godinu za grant</w:t>
      </w:r>
      <w:r w:rsidRPr="00764FC3">
        <w:rPr>
          <w:rFonts w:eastAsiaTheme="majorEastAsia" w:cstheme="majorBidi"/>
          <w:b/>
          <w:noProof/>
          <w:lang w:val="sr-Latn-RS"/>
        </w:rPr>
        <w:t>a</w:t>
      </w:r>
      <w:r w:rsidR="0006116B" w:rsidRPr="00764FC3">
        <w:rPr>
          <w:rFonts w:eastAsiaTheme="majorEastAsia" w:cstheme="majorBidi"/>
          <w:b/>
          <w:noProof/>
          <w:lang w:val="sr-Latn-RS"/>
        </w:rPr>
        <w:t xml:space="preserve"> za opštinski učinak - Opština Kosovo Polje</w:t>
      </w:r>
    </w:p>
    <w:p w14:paraId="3E80331A" w14:textId="63ED9D69" w:rsidR="0006116B" w:rsidRPr="00764FC3" w:rsidRDefault="0006116B" w:rsidP="00FF3BB3">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57355079" w14:textId="7B7B98E9" w:rsidR="0006116B" w:rsidRPr="00764FC3" w:rsidRDefault="002D02D7" w:rsidP="00FF3BB3">
      <w:pPr>
        <w:jc w:val="both"/>
        <w:rPr>
          <w:rFonts w:cstheme="majorHAnsi"/>
          <w:lang w:val="sr-Latn-RS"/>
        </w:rPr>
      </w:pPr>
      <w:r>
        <w:rPr>
          <w:noProof/>
          <w:lang w:val="en-GB" w:eastAsia="en-GB"/>
          <w14:ligatures w14:val="standardContextual"/>
        </w:rPr>
        <w:drawing>
          <wp:anchor distT="0" distB="0" distL="114300" distR="114300" simplePos="0" relativeHeight="251817984" behindDoc="0" locked="0" layoutInCell="1" allowOverlap="1" wp14:anchorId="6C9F254C" wp14:editId="69CDC067">
            <wp:simplePos x="0" y="0"/>
            <wp:positionH relativeFrom="column">
              <wp:posOffset>2038350</wp:posOffset>
            </wp:positionH>
            <wp:positionV relativeFrom="paragraph">
              <wp:posOffset>285750</wp:posOffset>
            </wp:positionV>
            <wp:extent cx="3840480" cy="2257425"/>
            <wp:effectExtent l="0" t="0" r="7620" b="9525"/>
            <wp:wrapSquare wrapText="bothSides"/>
            <wp:docPr id="31" name="Chart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V relativeFrom="margin">
              <wp14:pctHeight>0</wp14:pctHeight>
            </wp14:sizeRelV>
          </wp:anchor>
        </w:drawing>
      </w:r>
      <w:r w:rsidR="0006116B" w:rsidRPr="00764FC3">
        <w:rPr>
          <w:rFonts w:cstheme="majorHAnsi"/>
          <w:lang w:val="sr-Latn-RS"/>
        </w:rPr>
        <w:t xml:space="preserve">Opština </w:t>
      </w:r>
      <w:bookmarkStart w:id="39" w:name="_Hlk114220614"/>
      <w:r w:rsidR="0006116B" w:rsidRPr="00764FC3">
        <w:rPr>
          <w:rFonts w:cstheme="majorHAnsi"/>
          <w:lang w:val="sr-Latn-RS"/>
        </w:rPr>
        <w:t xml:space="preserve">Kosovo Polje nije se kvalifikovala </w:t>
      </w:r>
      <w:r w:rsidR="003E264C" w:rsidRPr="00764FC3">
        <w:rPr>
          <w:rFonts w:cstheme="majorHAnsi"/>
          <w:lang w:val="sr-Latn-RS"/>
        </w:rPr>
        <w:t>za grant za opštinski učinak za 202</w:t>
      </w:r>
      <w:r>
        <w:rPr>
          <w:rFonts w:cstheme="majorHAnsi"/>
          <w:lang w:val="sr-Latn-RS"/>
        </w:rPr>
        <w:t>6</w:t>
      </w:r>
      <w:r w:rsidR="003E264C" w:rsidRPr="00764FC3">
        <w:rPr>
          <w:rFonts w:cstheme="majorHAnsi"/>
          <w:lang w:val="sr-Latn-RS"/>
        </w:rPr>
        <w:t xml:space="preserve">. godinu, na osnovu učinka za </w:t>
      </w:r>
      <w:r w:rsidR="00F41E1B">
        <w:rPr>
          <w:rFonts w:cstheme="majorHAnsi"/>
          <w:lang w:val="sr-Latn-RS"/>
        </w:rPr>
        <w:t>2024</w:t>
      </w:r>
      <w:r w:rsidR="003E264C" w:rsidRPr="00764FC3">
        <w:rPr>
          <w:rFonts w:cstheme="majorHAnsi"/>
          <w:lang w:val="sr-Latn-RS"/>
        </w:rPr>
        <w:t>. godinu</w:t>
      </w:r>
      <w:r w:rsidR="0006116B" w:rsidRPr="00764FC3">
        <w:rPr>
          <w:rFonts w:cstheme="majorHAnsi"/>
          <w:lang w:val="sr-Latn-RS"/>
        </w:rPr>
        <w:t>.</w:t>
      </w:r>
      <w:r w:rsidR="00011A9B" w:rsidRPr="00764FC3">
        <w:rPr>
          <w:rFonts w:cstheme="majorHAnsi"/>
          <w:noProof/>
          <w:lang w:val="en-US"/>
        </w:rPr>
        <w:t xml:space="preserve"> </w:t>
      </w:r>
    </w:p>
    <w:p w14:paraId="166BE253" w14:textId="0131938B" w:rsidR="0006116B" w:rsidRPr="00764FC3" w:rsidRDefault="007033C5" w:rsidP="007033C5">
      <w:pPr>
        <w:jc w:val="both"/>
        <w:rPr>
          <w:rFonts w:cstheme="majorHAnsi"/>
          <w:lang w:val="sr-Latn-RS"/>
        </w:rPr>
      </w:pPr>
      <w:r w:rsidRPr="00764FC3">
        <w:rPr>
          <w:rFonts w:cstheme="majorHAnsi"/>
          <w:lang w:val="sr-Latn-RS"/>
        </w:rPr>
        <w:t xml:space="preserve">Minimalni uslovi broj 3 (revizorsko mišljenje treba da bude u najmanju ruku neizmenjeno sa isticanjem pitanja) </w:t>
      </w:r>
      <w:r w:rsidR="0006116B" w:rsidRPr="00764FC3">
        <w:rPr>
          <w:rFonts w:cstheme="majorHAnsi"/>
          <w:lang w:val="sr-Latn-RS"/>
        </w:rPr>
        <w:t xml:space="preserve">i </w:t>
      </w:r>
      <w:r w:rsidRPr="00764FC3">
        <w:rPr>
          <w:rFonts w:cstheme="majorHAnsi"/>
          <w:lang w:val="sr-Latn-RS"/>
        </w:rPr>
        <w:t xml:space="preserve">broj </w:t>
      </w:r>
      <w:r w:rsidR="0006116B" w:rsidRPr="00764FC3">
        <w:rPr>
          <w:rFonts w:cstheme="majorHAnsi"/>
          <w:lang w:val="sr-Latn-RS"/>
        </w:rPr>
        <w:t xml:space="preserve">4 (stopa rashoda budžeta za kapitalne investicije za </w:t>
      </w:r>
      <w:r w:rsidR="00F41E1B">
        <w:rPr>
          <w:rFonts w:cstheme="majorHAnsi"/>
          <w:lang w:val="sr-Latn-RS"/>
        </w:rPr>
        <w:t>2024</w:t>
      </w:r>
      <w:r w:rsidR="0006116B" w:rsidRPr="00764FC3">
        <w:rPr>
          <w:rFonts w:cstheme="majorHAnsi"/>
          <w:lang w:val="sr-Latn-RS"/>
        </w:rPr>
        <w:t>. godinu</w:t>
      </w:r>
      <w:r w:rsidRPr="00764FC3">
        <w:rPr>
          <w:rFonts w:cstheme="majorHAnsi"/>
          <w:lang w:val="sr-Latn-RS"/>
        </w:rPr>
        <w:t xml:space="preserve"> treba da bude najmanje 75%) nisu ispunjeni.</w:t>
      </w:r>
    </w:p>
    <w:bookmarkEnd w:id="39"/>
    <w:p w14:paraId="43D63E9A" w14:textId="77777777" w:rsidR="0006116B" w:rsidRPr="00764FC3" w:rsidRDefault="0006116B" w:rsidP="00FF3BB3">
      <w:pPr>
        <w:tabs>
          <w:tab w:val="left" w:pos="1190"/>
        </w:tabs>
        <w:rPr>
          <w:b/>
          <w:lang w:val="sr-Latn-RS"/>
        </w:rPr>
      </w:pPr>
      <w:r w:rsidRPr="00764FC3">
        <w:rPr>
          <w:b/>
          <w:lang w:val="sr-Latn-RS"/>
        </w:rPr>
        <w:tab/>
      </w:r>
    </w:p>
    <w:p w14:paraId="0D2C797B" w14:textId="77777777" w:rsidR="0006116B" w:rsidRPr="00764FC3" w:rsidRDefault="0006116B" w:rsidP="00FF3BB3">
      <w:pPr>
        <w:tabs>
          <w:tab w:val="left" w:pos="1190"/>
        </w:tabs>
        <w:rPr>
          <w:lang w:val="sr-Latn-RS"/>
        </w:rPr>
      </w:pPr>
    </w:p>
    <w:p w14:paraId="7E3D2DDC" w14:textId="36D68878" w:rsidR="0006116B" w:rsidRPr="00764FC3" w:rsidRDefault="007033C5"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0C154A62" w14:textId="400F4462" w:rsidR="0006116B" w:rsidRPr="00764FC3" w:rsidRDefault="002D02D7" w:rsidP="00FF3BB3">
      <w:pPr>
        <w:jc w:val="both"/>
        <w:rPr>
          <w:rFonts w:cstheme="majorHAnsi"/>
          <w:lang w:val="sr-Latn-RS"/>
        </w:rPr>
      </w:pPr>
      <w:r>
        <w:rPr>
          <w:noProof/>
          <w:lang w:val="en-GB" w:eastAsia="en-GB"/>
          <w14:ligatures w14:val="standardContextual"/>
        </w:rPr>
        <w:drawing>
          <wp:anchor distT="0" distB="0" distL="114300" distR="114300" simplePos="0" relativeHeight="251819008" behindDoc="0" locked="0" layoutInCell="1" allowOverlap="1" wp14:anchorId="619720E3" wp14:editId="698C57D8">
            <wp:simplePos x="0" y="0"/>
            <wp:positionH relativeFrom="column">
              <wp:posOffset>1981200</wp:posOffset>
            </wp:positionH>
            <wp:positionV relativeFrom="paragraph">
              <wp:posOffset>176530</wp:posOffset>
            </wp:positionV>
            <wp:extent cx="3840480" cy="2743200"/>
            <wp:effectExtent l="0" t="0" r="7620" b="0"/>
            <wp:wrapSquare wrapText="bothSides"/>
            <wp:docPr id="32" name="Chart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007033C5" w:rsidRPr="00764FC3">
        <w:rPr>
          <w:rFonts w:cstheme="majorHAnsi"/>
          <w:lang w:val="sr-Latn-RS"/>
        </w:rPr>
        <w:t>Prosečni učinak O</w:t>
      </w:r>
      <w:r w:rsidR="0006116B" w:rsidRPr="00764FC3">
        <w:rPr>
          <w:rFonts w:cstheme="majorHAnsi"/>
          <w:lang w:val="sr-Latn-RS"/>
        </w:rPr>
        <w:t xml:space="preserve">pštine Kosovo Polje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pr</w:t>
      </w:r>
      <w:r w:rsidR="0006116B" w:rsidRPr="00764FC3">
        <w:rPr>
          <w:rFonts w:cstheme="majorHAnsi"/>
          <w:lang w:val="sr-Latn-RS"/>
        </w:rPr>
        <w:t xml:space="preserve">ocenjenih </w:t>
      </w:r>
      <w:r w:rsidR="005A35F3" w:rsidRPr="00764FC3">
        <w:rPr>
          <w:rFonts w:cstheme="majorHAnsi"/>
          <w:lang w:val="sr-Latn-RS"/>
        </w:rPr>
        <w:t>pokazatelj</w:t>
      </w:r>
      <w:r w:rsidR="0006116B" w:rsidRPr="00764FC3">
        <w:rPr>
          <w:rFonts w:cstheme="majorHAnsi"/>
          <w:lang w:val="sr-Latn-RS"/>
        </w:rPr>
        <w:t>a je 4</w:t>
      </w:r>
      <w:r>
        <w:rPr>
          <w:rFonts w:cstheme="majorHAnsi"/>
          <w:lang w:val="sr-Latn-RS"/>
        </w:rPr>
        <w:t>1</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41.84</w:t>
      </w:r>
      <w:r w:rsidR="0006116B" w:rsidRPr="00764FC3">
        <w:rPr>
          <w:rFonts w:cstheme="majorHAnsi"/>
          <w:lang w:val="sr-Latn-RS"/>
        </w:rPr>
        <w:t>%).</w:t>
      </w:r>
      <w:r w:rsidR="0006116B" w:rsidRPr="00764FC3">
        <w:rPr>
          <w:noProof/>
          <w:lang w:val="sr-Latn-RS"/>
        </w:rPr>
        <w:t xml:space="preserve"> </w:t>
      </w:r>
    </w:p>
    <w:p w14:paraId="27D35603" w14:textId="6168F8B9"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učinak u 1</w:t>
      </w:r>
      <w:r w:rsidR="002D02D7">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sidR="002D02D7">
        <w:rPr>
          <w:rFonts w:cstheme="majorHAnsi"/>
          <w:lang w:val="sr-Latn-RS"/>
        </w:rPr>
        <w:t>11</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2D02D7">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27.50</w:t>
      </w:r>
      <w:r w:rsidR="0006116B" w:rsidRPr="00764FC3">
        <w:rPr>
          <w:rFonts w:cstheme="majorHAnsi"/>
          <w:lang w:val="sr-Latn-RS"/>
        </w:rPr>
        <w:t>%).</w:t>
      </w:r>
    </w:p>
    <w:p w14:paraId="719784B5" w14:textId="4C004DC3"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2D02D7">
        <w:rPr>
          <w:rFonts w:cstheme="majorHAnsi"/>
          <w:lang w:val="sr-Latn-RS"/>
        </w:rPr>
        <w:t>7</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2D02D7">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25.00</w:t>
      </w:r>
      <w:r w:rsidR="0006116B" w:rsidRPr="00764FC3">
        <w:rPr>
          <w:rFonts w:cstheme="majorHAnsi"/>
          <w:lang w:val="sr-Latn-RS"/>
        </w:rPr>
        <w:t>%).</w:t>
      </w:r>
    </w:p>
    <w:p w14:paraId="5CCB08DE" w14:textId="786CD40B"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w:t>
      </w:r>
      <w:r w:rsidR="002D02D7">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u okviru oblasti „Pružanje usluga“ je 2</w:t>
      </w:r>
      <w:r w:rsidR="002D02D7">
        <w:rPr>
          <w:rFonts w:cstheme="majorHAnsi"/>
          <w:lang w:val="sr-Latn-RS"/>
        </w:rPr>
        <w:t>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2D02D7">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41.84</w:t>
      </w:r>
      <w:r w:rsidR="0006116B" w:rsidRPr="00764FC3">
        <w:rPr>
          <w:rFonts w:cstheme="majorHAnsi"/>
          <w:lang w:val="sr-Latn-RS"/>
        </w:rPr>
        <w:t>%).</w:t>
      </w:r>
    </w:p>
    <w:p w14:paraId="742002E3" w14:textId="77777777" w:rsidR="0006116B" w:rsidRPr="00764FC3" w:rsidRDefault="0006116B" w:rsidP="00FF3BB3">
      <w:pPr>
        <w:jc w:val="both"/>
        <w:rPr>
          <w:lang w:val="sr-Latn-RS"/>
        </w:rPr>
        <w:sectPr w:rsidR="0006116B" w:rsidRPr="00764FC3" w:rsidSect="0069543C">
          <w:pgSz w:w="11906" w:h="16838"/>
          <w:pgMar w:top="1440" w:right="1440" w:bottom="1440" w:left="1440" w:header="708" w:footer="708" w:gutter="0"/>
          <w:cols w:space="708"/>
          <w:docGrid w:linePitch="360"/>
        </w:sectPr>
      </w:pPr>
    </w:p>
    <w:p w14:paraId="0B1BC14B" w14:textId="1EEE24F0" w:rsidR="0006116B" w:rsidRPr="00764FC3" w:rsidRDefault="007033C5"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opštinski učinak - Opština Đakovica</w:t>
      </w:r>
    </w:p>
    <w:p w14:paraId="42D3136B" w14:textId="0C0EB536" w:rsidR="0006116B" w:rsidRPr="00764FC3" w:rsidRDefault="002D02D7" w:rsidP="00FF3BB3">
      <w:pPr>
        <w:rPr>
          <w:b/>
          <w:lang w:val="sr-Latn-RS"/>
        </w:rPr>
      </w:pPr>
      <w:r>
        <w:rPr>
          <w:noProof/>
          <w:lang w:val="en-GB" w:eastAsia="en-GB"/>
          <w14:ligatures w14:val="standardContextual"/>
        </w:rPr>
        <w:drawing>
          <wp:anchor distT="0" distB="0" distL="114300" distR="114300" simplePos="0" relativeHeight="251820032" behindDoc="0" locked="0" layoutInCell="1" allowOverlap="1" wp14:anchorId="1DE56B84" wp14:editId="22DE54AB">
            <wp:simplePos x="0" y="0"/>
            <wp:positionH relativeFrom="margin">
              <wp:align>right</wp:align>
            </wp:positionH>
            <wp:positionV relativeFrom="paragraph">
              <wp:posOffset>230505</wp:posOffset>
            </wp:positionV>
            <wp:extent cx="3800475" cy="2256790"/>
            <wp:effectExtent l="0" t="0" r="9525" b="10160"/>
            <wp:wrapSquare wrapText="bothSides"/>
            <wp:docPr id="33" name="Chart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06116B" w:rsidRPr="00764FC3">
        <w:rPr>
          <w:b/>
          <w:lang w:val="sr-Latn-RS"/>
        </w:rPr>
        <w:t xml:space="preserve">Procena minimalnih uslova za </w:t>
      </w:r>
      <w:r w:rsidR="00F41E1B">
        <w:rPr>
          <w:b/>
          <w:lang w:val="sr-Latn-RS"/>
        </w:rPr>
        <w:t>202</w:t>
      </w:r>
      <w:r w:rsidR="00803579">
        <w:rPr>
          <w:b/>
          <w:lang w:val="sr-Latn-RS"/>
        </w:rPr>
        <w:t>4</w:t>
      </w:r>
      <w:r w:rsidR="0006116B" w:rsidRPr="00764FC3">
        <w:rPr>
          <w:b/>
          <w:lang w:val="sr-Latn-RS"/>
        </w:rPr>
        <w:t>. godinu</w:t>
      </w:r>
    </w:p>
    <w:p w14:paraId="359A57D2" w14:textId="060A2DFE" w:rsidR="0006116B" w:rsidRPr="00764FC3" w:rsidRDefault="0006116B" w:rsidP="00FF3BB3">
      <w:pPr>
        <w:jc w:val="both"/>
        <w:rPr>
          <w:rFonts w:cstheme="majorHAnsi"/>
          <w:noProof/>
          <w:lang w:val="sr-Latn-RS" w:eastAsia="sr-Latn-RS"/>
        </w:rPr>
      </w:pPr>
      <w:r w:rsidRPr="00764FC3">
        <w:rPr>
          <w:rFonts w:cstheme="majorHAnsi"/>
          <w:lang w:val="sr-Latn-RS"/>
        </w:rPr>
        <w:t xml:space="preserve">Opština Đakovica se nije kvalifikovala </w:t>
      </w:r>
      <w:r w:rsidR="005566C1" w:rsidRPr="00764FC3">
        <w:rPr>
          <w:rFonts w:cstheme="majorHAnsi"/>
          <w:lang w:val="sr-Latn-RS"/>
        </w:rPr>
        <w:t>za grant za opštinski učinak za 202</w:t>
      </w:r>
      <w:r w:rsidR="002D02D7">
        <w:rPr>
          <w:rFonts w:cstheme="majorHAnsi"/>
          <w:lang w:val="sr-Latn-RS"/>
        </w:rPr>
        <w:t>6</w:t>
      </w:r>
      <w:r w:rsidR="005566C1" w:rsidRPr="00764FC3">
        <w:rPr>
          <w:rFonts w:cstheme="majorHAnsi"/>
          <w:lang w:val="sr-Latn-RS"/>
        </w:rPr>
        <w:t xml:space="preserve">. godinu, na osnovu učinka za </w:t>
      </w:r>
      <w:r w:rsidR="00F41E1B">
        <w:rPr>
          <w:rFonts w:cstheme="majorHAnsi"/>
          <w:lang w:val="sr-Latn-RS"/>
        </w:rPr>
        <w:t>2024</w:t>
      </w:r>
      <w:r w:rsidR="005566C1" w:rsidRPr="00764FC3">
        <w:rPr>
          <w:rFonts w:cstheme="majorHAnsi"/>
          <w:lang w:val="sr-Latn-RS"/>
        </w:rPr>
        <w:t>. godinu.</w:t>
      </w:r>
      <w:r w:rsidR="007D2C95" w:rsidRPr="00764FC3">
        <w:rPr>
          <w:rFonts w:cstheme="majorHAnsi"/>
          <w:noProof/>
          <w:lang w:val="en-US"/>
        </w:rPr>
        <w:t xml:space="preserve"> </w:t>
      </w:r>
    </w:p>
    <w:p w14:paraId="7D27D79F" w14:textId="55CDA041" w:rsidR="0006116B" w:rsidRPr="00764FC3" w:rsidRDefault="0006116B" w:rsidP="00FF3BB3">
      <w:pPr>
        <w:rPr>
          <w:lang w:val="sr-Latn-RS"/>
        </w:rPr>
      </w:pPr>
      <w:r w:rsidRPr="00764FC3">
        <w:rPr>
          <w:rFonts w:cstheme="majorHAnsi"/>
          <w:lang w:val="sr-Latn-RS"/>
        </w:rPr>
        <w:t>Minimalni uslov broj 3 (</w:t>
      </w:r>
      <w:r w:rsidR="007033C5" w:rsidRPr="00764FC3">
        <w:rPr>
          <w:rFonts w:cstheme="majorHAnsi"/>
          <w:lang w:val="sr-Latn-RS"/>
        </w:rPr>
        <w:t>revizorsko mišljenje treba da bude u najmanju ruku neizmenjeno sa isticanjem pitanja</w:t>
      </w:r>
      <w:r w:rsidRPr="00764FC3">
        <w:rPr>
          <w:rFonts w:cstheme="majorHAnsi"/>
          <w:lang w:val="sr-Latn-RS"/>
        </w:rPr>
        <w:t>) nije ispunjen.</w:t>
      </w:r>
    </w:p>
    <w:p w14:paraId="44DE9AFF" w14:textId="77777777" w:rsidR="0006116B" w:rsidRPr="00764FC3" w:rsidRDefault="0006116B" w:rsidP="00FF3BB3">
      <w:pPr>
        <w:rPr>
          <w:lang w:val="sr-Latn-RS"/>
        </w:rPr>
      </w:pPr>
    </w:p>
    <w:p w14:paraId="2AED0480" w14:textId="77777777" w:rsidR="0006116B" w:rsidRPr="00764FC3" w:rsidRDefault="0006116B" w:rsidP="00FF3BB3">
      <w:pPr>
        <w:rPr>
          <w:b/>
          <w:lang w:val="sr-Latn-RS"/>
        </w:rPr>
      </w:pPr>
    </w:p>
    <w:p w14:paraId="61D27080" w14:textId="287D57E2" w:rsidR="0006116B" w:rsidRPr="00764FC3" w:rsidRDefault="007033C5"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6132BBB6" w14:textId="00F5B072" w:rsidR="0006116B" w:rsidRPr="00764FC3" w:rsidRDefault="007033C5" w:rsidP="00FF3BB3">
      <w:pPr>
        <w:jc w:val="both"/>
        <w:rPr>
          <w:noProof/>
          <w:lang w:val="sr-Latn-RS"/>
        </w:rPr>
      </w:pPr>
      <w:r w:rsidRPr="00764FC3">
        <w:rPr>
          <w:rFonts w:cstheme="majorHAnsi"/>
          <w:lang w:val="sr-Latn-RS"/>
        </w:rPr>
        <w:t xml:space="preserve">Prosečni učinak Opštine </w:t>
      </w:r>
      <w:r w:rsidR="0006116B" w:rsidRPr="00764FC3">
        <w:rPr>
          <w:rFonts w:cstheme="majorHAnsi"/>
          <w:lang w:val="sr-Latn-RS"/>
        </w:rPr>
        <w:t>Đakovica u 2</w:t>
      </w:r>
      <w:r w:rsidR="002D02D7">
        <w:rPr>
          <w:rFonts w:cstheme="majorHAnsi"/>
          <w:lang w:val="sr-Latn-RS"/>
        </w:rPr>
        <w:t>9</w:t>
      </w:r>
      <w:r w:rsidR="0006116B" w:rsidRPr="00764FC3">
        <w:rPr>
          <w:rFonts w:cstheme="majorHAnsi"/>
          <w:lang w:val="sr-Latn-RS"/>
        </w:rPr>
        <w:t xml:space="preserve"> </w:t>
      </w:r>
      <w:r w:rsidRPr="00764FC3">
        <w:rPr>
          <w:rFonts w:cstheme="majorHAnsi"/>
          <w:lang w:val="sr-Latn-RS"/>
        </w:rPr>
        <w:t>pr</w:t>
      </w:r>
      <w:r w:rsidR="0006116B" w:rsidRPr="00764FC3">
        <w:rPr>
          <w:rFonts w:cstheme="majorHAnsi"/>
          <w:lang w:val="sr-Latn-RS"/>
        </w:rPr>
        <w:t xml:space="preserve">ocenjenih </w:t>
      </w:r>
      <w:r w:rsidR="005A35F3" w:rsidRPr="00764FC3">
        <w:rPr>
          <w:rFonts w:cstheme="majorHAnsi"/>
          <w:lang w:val="sr-Latn-RS"/>
        </w:rPr>
        <w:t>pokazatelj</w:t>
      </w:r>
      <w:r w:rsidR="0006116B" w:rsidRPr="00764FC3">
        <w:rPr>
          <w:rFonts w:cstheme="majorHAnsi"/>
          <w:lang w:val="sr-Latn-RS"/>
        </w:rPr>
        <w:t>a je 5</w:t>
      </w:r>
      <w:r w:rsidR="002D02D7">
        <w:rPr>
          <w:rFonts w:cstheme="majorHAnsi"/>
          <w:lang w:val="sr-Latn-RS"/>
        </w:rPr>
        <w:t>2</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sidR="002D02D7">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53.06</w:t>
      </w:r>
      <w:r w:rsidR="0006116B" w:rsidRPr="00764FC3">
        <w:rPr>
          <w:rFonts w:cstheme="majorHAnsi"/>
          <w:lang w:val="sr-Latn-RS"/>
        </w:rPr>
        <w:t>%).</w:t>
      </w:r>
      <w:r w:rsidR="0006116B" w:rsidRPr="00764FC3">
        <w:rPr>
          <w:noProof/>
          <w:lang w:val="sr-Latn-RS"/>
        </w:rPr>
        <w:t xml:space="preserve"> </w:t>
      </w:r>
    </w:p>
    <w:p w14:paraId="72580D74" w14:textId="4283FEC4" w:rsidR="0006116B" w:rsidRPr="00764FC3" w:rsidRDefault="002D02D7" w:rsidP="00FF3BB3">
      <w:pPr>
        <w:jc w:val="both"/>
        <w:rPr>
          <w:rFonts w:cstheme="majorHAnsi"/>
          <w:lang w:val="sr-Latn-RS"/>
        </w:rPr>
      </w:pPr>
      <w:r>
        <w:rPr>
          <w:noProof/>
          <w:lang w:val="en-GB" w:eastAsia="en-GB"/>
          <w14:ligatures w14:val="standardContextual"/>
        </w:rPr>
        <w:drawing>
          <wp:anchor distT="0" distB="0" distL="114300" distR="114300" simplePos="0" relativeHeight="251821056" behindDoc="0" locked="0" layoutInCell="1" allowOverlap="1" wp14:anchorId="3C840D61" wp14:editId="6E58F3DA">
            <wp:simplePos x="0" y="0"/>
            <wp:positionH relativeFrom="column">
              <wp:posOffset>1819275</wp:posOffset>
            </wp:positionH>
            <wp:positionV relativeFrom="paragraph">
              <wp:posOffset>87630</wp:posOffset>
            </wp:positionV>
            <wp:extent cx="3840480" cy="2743200"/>
            <wp:effectExtent l="0" t="0" r="7620" b="0"/>
            <wp:wrapSquare wrapText="bothSides"/>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r w:rsidR="007033C5" w:rsidRPr="00764FC3">
        <w:rPr>
          <w:rFonts w:cstheme="majorHAnsi"/>
          <w:lang w:val="sr-Latn-RS"/>
        </w:rPr>
        <w:t xml:space="preserve">Prosečni učinak </w:t>
      </w:r>
      <w:r w:rsidR="0006116B" w:rsidRPr="00764FC3">
        <w:rPr>
          <w:rFonts w:cstheme="majorHAnsi"/>
          <w:lang w:val="sr-Latn-RS"/>
        </w:rPr>
        <w:t>u 1</w:t>
      </w:r>
      <w:r>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„Demokratsko upravljanje“ je </w:t>
      </w:r>
      <w:r>
        <w:rPr>
          <w:rFonts w:cstheme="majorHAnsi"/>
          <w:lang w:val="sr-Latn-RS"/>
        </w:rPr>
        <w:t>20</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50.00</w:t>
      </w:r>
      <w:r w:rsidR="0006116B" w:rsidRPr="00764FC3">
        <w:rPr>
          <w:rFonts w:cstheme="majorHAnsi"/>
          <w:lang w:val="sr-Latn-RS"/>
        </w:rPr>
        <w:t>%).</w:t>
      </w:r>
    </w:p>
    <w:p w14:paraId="37092143" w14:textId="5F57AEA4" w:rsidR="0006116B" w:rsidRPr="00764FC3" w:rsidRDefault="007033C5" w:rsidP="00FF3BB3">
      <w:pPr>
        <w:jc w:val="both"/>
        <w:rPr>
          <w:rFonts w:cstheme="majorHAnsi"/>
          <w:lang w:val="sr-Latn-RS"/>
        </w:rPr>
      </w:pPr>
      <w:r w:rsidRPr="00764FC3">
        <w:rPr>
          <w:rFonts w:cstheme="majorHAnsi"/>
          <w:lang w:val="sr-Latn-RS"/>
        </w:rPr>
        <w:t xml:space="preserve">Prosečni učinak </w:t>
      </w:r>
      <w:r w:rsidR="0006116B" w:rsidRPr="00764FC3">
        <w:rPr>
          <w:rFonts w:cstheme="majorHAnsi"/>
          <w:lang w:val="sr-Latn-RS"/>
        </w:rPr>
        <w:t xml:space="preserve">u 7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2D02D7">
        <w:rPr>
          <w:rFonts w:cstheme="majorHAnsi"/>
          <w:lang w:val="sr-Latn-RS"/>
        </w:rPr>
        <w:t>14</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2D02D7">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50.00</w:t>
      </w:r>
      <w:r w:rsidR="0006116B" w:rsidRPr="00764FC3">
        <w:rPr>
          <w:rFonts w:cstheme="majorHAnsi"/>
          <w:lang w:val="sr-Latn-RS"/>
        </w:rPr>
        <w:t>%).</w:t>
      </w:r>
    </w:p>
    <w:p w14:paraId="744DE692" w14:textId="659F49E1" w:rsidR="0006116B" w:rsidRPr="00764FC3" w:rsidRDefault="007033C5" w:rsidP="00FF3BB3">
      <w:pPr>
        <w:jc w:val="both"/>
        <w:rPr>
          <w:rFonts w:cstheme="majorHAnsi"/>
          <w:lang w:val="sr-Latn-RS"/>
        </w:rPr>
      </w:pPr>
      <w:r w:rsidRPr="00764FC3">
        <w:rPr>
          <w:rFonts w:cstheme="majorHAnsi"/>
          <w:lang w:val="sr-Latn-RS"/>
        </w:rPr>
        <w:t xml:space="preserve">Prosečni učinak </w:t>
      </w:r>
      <w:r w:rsidR="0006116B" w:rsidRPr="00764FC3">
        <w:rPr>
          <w:rFonts w:cstheme="majorHAnsi"/>
          <w:lang w:val="sr-Latn-RS"/>
        </w:rPr>
        <w:t xml:space="preserve">u </w:t>
      </w:r>
      <w:r w:rsidR="002D02D7">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„Pružanje usluga“ je </w:t>
      </w:r>
      <w:r w:rsidR="002D02D7">
        <w:rPr>
          <w:rFonts w:cstheme="majorHAnsi"/>
          <w:lang w:val="sr-Latn-RS"/>
        </w:rPr>
        <w:t>18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2D02D7">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2D02D7">
        <w:rPr>
          <w:rFonts w:cstheme="majorHAnsi"/>
          <w:lang w:val="sr-Latn-RS"/>
        </w:rPr>
        <w:t>60.00</w:t>
      </w:r>
      <w:r w:rsidR="0006116B" w:rsidRPr="00764FC3">
        <w:rPr>
          <w:rFonts w:cstheme="majorHAnsi"/>
          <w:lang w:val="sr-Latn-RS"/>
        </w:rPr>
        <w:t>%).</w:t>
      </w:r>
    </w:p>
    <w:p w14:paraId="11591846" w14:textId="77777777" w:rsidR="0006116B" w:rsidRPr="00764FC3" w:rsidRDefault="0006116B" w:rsidP="00FF3BB3">
      <w:pPr>
        <w:rPr>
          <w:lang w:val="sr-Latn-RS"/>
        </w:rPr>
      </w:pPr>
    </w:p>
    <w:p w14:paraId="2204DFEB" w14:textId="77777777" w:rsidR="0006116B" w:rsidRPr="00764FC3" w:rsidRDefault="0006116B" w:rsidP="00FF3BB3">
      <w:pPr>
        <w:rPr>
          <w:lang w:val="sr-Latn-RS"/>
        </w:rPr>
      </w:pPr>
    </w:p>
    <w:p w14:paraId="300EED79"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21AD6FCD" w14:textId="7287BC3B" w:rsidR="0006116B" w:rsidRPr="00503097" w:rsidRDefault="007033C5"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opštinski učinak - Opština Gnjilane</w:t>
      </w:r>
    </w:p>
    <w:p w14:paraId="15A6D7D4" w14:textId="7DCE3827" w:rsidR="0006116B" w:rsidRPr="00764FC3" w:rsidRDefault="0006116B" w:rsidP="00FF3BB3">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2A58345E" w14:textId="1291D385" w:rsidR="0006116B" w:rsidRPr="00764FC3" w:rsidRDefault="00503097" w:rsidP="00FF3BB3">
      <w:pPr>
        <w:jc w:val="both"/>
        <w:rPr>
          <w:rFonts w:cstheme="majorHAnsi"/>
          <w:lang w:val="sr-Latn-RS"/>
        </w:rPr>
      </w:pPr>
      <w:r>
        <w:rPr>
          <w:noProof/>
          <w:lang w:val="en-GB" w:eastAsia="en-GB"/>
          <w14:ligatures w14:val="standardContextual"/>
        </w:rPr>
        <w:drawing>
          <wp:anchor distT="0" distB="0" distL="114300" distR="114300" simplePos="0" relativeHeight="251822080" behindDoc="0" locked="0" layoutInCell="1" allowOverlap="1" wp14:anchorId="4AA08EFC" wp14:editId="4662E396">
            <wp:simplePos x="0" y="0"/>
            <wp:positionH relativeFrom="column">
              <wp:posOffset>1932940</wp:posOffset>
            </wp:positionH>
            <wp:positionV relativeFrom="paragraph">
              <wp:posOffset>47625</wp:posOffset>
            </wp:positionV>
            <wp:extent cx="3841200" cy="2257200"/>
            <wp:effectExtent l="0" t="0" r="6985" b="10160"/>
            <wp:wrapSquare wrapText="bothSides"/>
            <wp:docPr id="35" name="Chart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r w:rsidR="0006116B" w:rsidRPr="00764FC3">
        <w:rPr>
          <w:rFonts w:cstheme="majorHAnsi"/>
          <w:noProof/>
          <w:lang w:val="sr-Latn-RS"/>
        </w:rPr>
        <w:t xml:space="preserve">Opština </w:t>
      </w:r>
      <w:r w:rsidR="0006116B" w:rsidRPr="00764FC3">
        <w:rPr>
          <w:rFonts w:cstheme="majorHAnsi"/>
          <w:lang w:val="sr-Latn-RS"/>
        </w:rPr>
        <w:t xml:space="preserve">Gnjilane se nije kvalifikovala </w:t>
      </w:r>
      <w:bookmarkStart w:id="40" w:name="_Hlk114228872"/>
      <w:r w:rsidR="0040136B" w:rsidRPr="00764FC3">
        <w:rPr>
          <w:rFonts w:cstheme="majorHAnsi"/>
          <w:lang w:val="sr-Latn-RS"/>
        </w:rPr>
        <w:t>za grant za opštinski učinak za 202</w:t>
      </w:r>
      <w:r>
        <w:rPr>
          <w:rFonts w:cstheme="majorHAnsi"/>
          <w:lang w:val="sr-Latn-RS"/>
        </w:rPr>
        <w:t>6</w:t>
      </w:r>
      <w:r w:rsidR="0040136B" w:rsidRPr="00764FC3">
        <w:rPr>
          <w:rFonts w:cstheme="majorHAnsi"/>
          <w:lang w:val="sr-Latn-RS"/>
        </w:rPr>
        <w:t xml:space="preserve">. godinu, na osnovu učinka za </w:t>
      </w:r>
      <w:r w:rsidR="00F41E1B">
        <w:rPr>
          <w:rFonts w:cstheme="majorHAnsi"/>
          <w:lang w:val="sr-Latn-RS"/>
        </w:rPr>
        <w:t>2024</w:t>
      </w:r>
      <w:r w:rsidR="0040136B" w:rsidRPr="00764FC3">
        <w:rPr>
          <w:rFonts w:cstheme="majorHAnsi"/>
          <w:lang w:val="sr-Latn-RS"/>
        </w:rPr>
        <w:t>. godinu.</w:t>
      </w:r>
      <w:r w:rsidR="00487486" w:rsidRPr="00764FC3">
        <w:rPr>
          <w:rFonts w:cstheme="majorHAnsi"/>
          <w:noProof/>
          <w:lang w:val="en-US"/>
        </w:rPr>
        <w:t xml:space="preserve"> </w:t>
      </w:r>
    </w:p>
    <w:p w14:paraId="14DDD1AB" w14:textId="673F64C8" w:rsidR="0006116B" w:rsidRPr="00764FC3" w:rsidRDefault="0006116B" w:rsidP="00FF3BB3">
      <w:pPr>
        <w:jc w:val="both"/>
        <w:rPr>
          <w:rFonts w:cstheme="majorHAnsi"/>
          <w:lang w:val="sr-Latn-RS"/>
        </w:rPr>
      </w:pPr>
      <w:bookmarkStart w:id="41" w:name="_Hlk178066167"/>
      <w:r w:rsidRPr="00764FC3">
        <w:rPr>
          <w:rFonts w:cstheme="majorHAnsi"/>
          <w:lang w:val="sr-Latn-RS"/>
        </w:rPr>
        <w:t>Minimalni uslov broj 3 (</w:t>
      </w:r>
      <w:r w:rsidR="007033C5" w:rsidRPr="00764FC3">
        <w:rPr>
          <w:rFonts w:cstheme="majorHAnsi"/>
          <w:lang w:val="sr-Latn-RS"/>
        </w:rPr>
        <w:t>revizorsko mišljenje treba da bude u najmanju ruku neizmenjeno sa isticanjem pitanja</w:t>
      </w:r>
      <w:r w:rsidR="00503097">
        <w:rPr>
          <w:rFonts w:cstheme="majorHAnsi"/>
          <w:lang w:val="sr-Latn-RS"/>
        </w:rPr>
        <w:t xml:space="preserve">) </w:t>
      </w:r>
      <w:r w:rsidRPr="00764FC3">
        <w:rPr>
          <w:rFonts w:cstheme="majorHAnsi"/>
          <w:lang w:val="sr-Latn-RS"/>
        </w:rPr>
        <w:t>ni</w:t>
      </w:r>
      <w:r w:rsidR="00503097">
        <w:rPr>
          <w:rFonts w:cstheme="majorHAnsi"/>
          <w:lang w:val="sr-Latn-RS"/>
        </w:rPr>
        <w:t>je</w:t>
      </w:r>
      <w:r w:rsidRPr="00764FC3">
        <w:rPr>
          <w:rFonts w:cstheme="majorHAnsi"/>
          <w:lang w:val="sr-Latn-RS"/>
        </w:rPr>
        <w:t xml:space="preserve"> ispunjen.</w:t>
      </w:r>
    </w:p>
    <w:bookmarkEnd w:id="41"/>
    <w:p w14:paraId="1CC14698" w14:textId="77777777" w:rsidR="0006116B" w:rsidRPr="00764FC3" w:rsidRDefault="0006116B" w:rsidP="00FF3BB3">
      <w:pPr>
        <w:jc w:val="both"/>
        <w:rPr>
          <w:rFonts w:cstheme="majorHAnsi"/>
          <w:lang w:val="sr-Latn-RS"/>
        </w:rPr>
      </w:pPr>
    </w:p>
    <w:bookmarkEnd w:id="40"/>
    <w:p w14:paraId="525F16CF" w14:textId="77777777" w:rsidR="0006116B" w:rsidRPr="00764FC3" w:rsidRDefault="0006116B" w:rsidP="00FF3BB3">
      <w:pPr>
        <w:rPr>
          <w:b/>
          <w:lang w:val="sr-Latn-RS"/>
        </w:rPr>
      </w:pPr>
    </w:p>
    <w:p w14:paraId="24FAE821" w14:textId="77777777" w:rsidR="0006116B" w:rsidRPr="00764FC3" w:rsidRDefault="0006116B" w:rsidP="00FF3BB3">
      <w:pPr>
        <w:rPr>
          <w:b/>
          <w:lang w:val="sr-Latn-RS"/>
        </w:rPr>
      </w:pPr>
    </w:p>
    <w:p w14:paraId="48A8072A" w14:textId="0A75DEEF" w:rsidR="0006116B" w:rsidRPr="00764FC3" w:rsidRDefault="007033C5"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7127B38A" w14:textId="47650B95" w:rsidR="0006116B" w:rsidRPr="00764FC3" w:rsidRDefault="00503097" w:rsidP="00FF3BB3">
      <w:pPr>
        <w:jc w:val="both"/>
        <w:rPr>
          <w:noProof/>
          <w:lang w:val="sr-Latn-RS"/>
        </w:rPr>
      </w:pPr>
      <w:r>
        <w:rPr>
          <w:noProof/>
          <w:lang w:val="en-GB" w:eastAsia="en-GB"/>
          <w14:ligatures w14:val="standardContextual"/>
        </w:rPr>
        <w:drawing>
          <wp:anchor distT="0" distB="0" distL="114300" distR="114300" simplePos="0" relativeHeight="251823104" behindDoc="0" locked="0" layoutInCell="1" allowOverlap="1" wp14:anchorId="2240A483" wp14:editId="7AF35E83">
            <wp:simplePos x="0" y="0"/>
            <wp:positionH relativeFrom="column">
              <wp:posOffset>1866900</wp:posOffset>
            </wp:positionH>
            <wp:positionV relativeFrom="paragraph">
              <wp:posOffset>224155</wp:posOffset>
            </wp:positionV>
            <wp:extent cx="3840480" cy="2743200"/>
            <wp:effectExtent l="0" t="0" r="7620" b="0"/>
            <wp:wrapSquare wrapText="bothSides"/>
            <wp:docPr id="36" name="Chart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7033C5" w:rsidRPr="00764FC3">
        <w:rPr>
          <w:rFonts w:cstheme="majorHAnsi"/>
          <w:lang w:val="sr-Latn-RS"/>
        </w:rPr>
        <w:t xml:space="preserve">Prosečni </w:t>
      </w:r>
      <w:r w:rsidR="0006116B" w:rsidRPr="00764FC3">
        <w:rPr>
          <w:rFonts w:cstheme="majorHAnsi"/>
          <w:lang w:val="sr-Latn-RS"/>
        </w:rPr>
        <w:t>učinak Opštine Gnjilane u 2</w:t>
      </w:r>
      <w:r>
        <w:rPr>
          <w:rFonts w:cstheme="majorHAnsi"/>
          <w:lang w:val="sr-Latn-RS"/>
        </w:rPr>
        <w:t>9</w:t>
      </w:r>
      <w:r w:rsidR="0006116B" w:rsidRPr="00764FC3">
        <w:rPr>
          <w:rFonts w:cstheme="majorHAnsi"/>
          <w:lang w:val="sr-Latn-RS"/>
        </w:rPr>
        <w:t xml:space="preserve"> </w:t>
      </w:r>
      <w:r w:rsidR="007033C5" w:rsidRPr="00764FC3">
        <w:rPr>
          <w:rFonts w:cstheme="majorHAnsi"/>
          <w:lang w:val="sr-Latn-RS"/>
        </w:rPr>
        <w:t>pr</w:t>
      </w:r>
      <w:r w:rsidR="0006116B" w:rsidRPr="00764FC3">
        <w:rPr>
          <w:rFonts w:cstheme="majorHAnsi"/>
          <w:lang w:val="sr-Latn-RS"/>
        </w:rPr>
        <w:t>ocenjenih pokazatelja je 4</w:t>
      </w:r>
      <w:r>
        <w:rPr>
          <w:rFonts w:cstheme="majorHAnsi"/>
          <w:lang w:val="sr-Latn-RS"/>
        </w:rPr>
        <w:t>4</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44.90</w:t>
      </w:r>
      <w:r w:rsidR="0006116B" w:rsidRPr="00764FC3">
        <w:rPr>
          <w:rFonts w:cstheme="majorHAnsi"/>
          <w:lang w:val="sr-Latn-RS"/>
        </w:rPr>
        <w:t>%).</w:t>
      </w:r>
      <w:r w:rsidR="0006116B" w:rsidRPr="00764FC3">
        <w:rPr>
          <w:noProof/>
          <w:lang w:val="sr-Latn-RS"/>
        </w:rPr>
        <w:t xml:space="preserve"> </w:t>
      </w:r>
    </w:p>
    <w:p w14:paraId="1B1FBACF" w14:textId="32E1831F" w:rsidR="0006116B" w:rsidRPr="00503097"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učinak u 1</w:t>
      </w:r>
      <w:r w:rsidR="00503097">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sidR="00503097">
        <w:rPr>
          <w:rFonts w:cstheme="majorHAnsi"/>
          <w:lang w:val="sr-Latn-RS"/>
        </w:rPr>
        <w:t>23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503097">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503097">
        <w:rPr>
          <w:rFonts w:cstheme="majorHAnsi"/>
          <w:lang w:val="sr-Latn-RS"/>
        </w:rPr>
        <w:t>57.50</w:t>
      </w:r>
      <w:r w:rsidR="0006116B" w:rsidRPr="00764FC3">
        <w:rPr>
          <w:rFonts w:cstheme="majorHAnsi"/>
          <w:lang w:val="sr-Latn-RS"/>
        </w:rPr>
        <w:t>%).</w:t>
      </w:r>
    </w:p>
    <w:p w14:paraId="2B4E4C7A" w14:textId="4EC7EEA1"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503097">
        <w:rPr>
          <w:rFonts w:cstheme="majorHAnsi"/>
          <w:lang w:val="sr-Latn-RS"/>
        </w:rPr>
        <w:t>9</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503097">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503097">
        <w:rPr>
          <w:rFonts w:cstheme="majorHAnsi"/>
          <w:lang w:val="sr-Latn-RS"/>
        </w:rPr>
        <w:t>32.14</w:t>
      </w:r>
      <w:r w:rsidR="0006116B" w:rsidRPr="00764FC3">
        <w:rPr>
          <w:rFonts w:cstheme="majorHAnsi"/>
          <w:lang w:val="sr-Latn-RS"/>
        </w:rPr>
        <w:t>%).</w:t>
      </w:r>
    </w:p>
    <w:p w14:paraId="75D89D6A" w14:textId="69B8C10F" w:rsidR="0006116B" w:rsidRPr="00764FC3" w:rsidRDefault="007033C5"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w:t>
      </w:r>
      <w:r w:rsidR="00503097">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Pr="00764FC3">
        <w:rPr>
          <w:rFonts w:cstheme="majorHAnsi"/>
          <w:lang w:val="sr-Latn-RS"/>
        </w:rPr>
        <w:t xml:space="preserve">procenjenih </w:t>
      </w:r>
      <w:r w:rsidR="0006116B" w:rsidRPr="00764FC3">
        <w:rPr>
          <w:rFonts w:cstheme="majorHAnsi"/>
          <w:lang w:val="sr-Latn-RS"/>
        </w:rPr>
        <w:t>u okviru oblasti „Pružanje usluga“ je 1</w:t>
      </w:r>
      <w:r w:rsidR="00503097">
        <w:rPr>
          <w:rFonts w:cstheme="majorHAnsi"/>
          <w:lang w:val="sr-Latn-RS"/>
        </w:rPr>
        <w:t>2</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503097">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503097">
        <w:rPr>
          <w:rFonts w:cstheme="majorHAnsi"/>
          <w:lang w:val="sr-Latn-RS"/>
        </w:rPr>
        <w:t>40</w:t>
      </w:r>
      <w:r w:rsidR="0006116B" w:rsidRPr="00764FC3">
        <w:rPr>
          <w:rFonts w:cstheme="majorHAnsi"/>
          <w:lang w:val="sr-Latn-RS"/>
        </w:rPr>
        <w:t>%).</w:t>
      </w:r>
    </w:p>
    <w:p w14:paraId="121BD516" w14:textId="77777777" w:rsidR="0006116B" w:rsidRPr="00764FC3" w:rsidRDefault="0006116B" w:rsidP="00FF3BB3">
      <w:pPr>
        <w:jc w:val="both"/>
        <w:rPr>
          <w:rFonts w:cstheme="majorHAnsi"/>
          <w:lang w:val="sr-Latn-RS"/>
        </w:rPr>
      </w:pPr>
    </w:p>
    <w:p w14:paraId="50CA5DEB" w14:textId="77777777" w:rsidR="0006116B" w:rsidRPr="00764FC3" w:rsidRDefault="0006116B" w:rsidP="00FF3BB3">
      <w:pPr>
        <w:jc w:val="both"/>
        <w:rPr>
          <w:lang w:val="sr-Latn-RS"/>
        </w:rPr>
      </w:pPr>
    </w:p>
    <w:p w14:paraId="5A20D2CF"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38443720" w14:textId="74181F0B" w:rsidR="0006116B" w:rsidRPr="00764FC3" w:rsidRDefault="005325A3"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opštinski učinak - Opština Glogovac</w:t>
      </w:r>
    </w:p>
    <w:p w14:paraId="2C039DFE" w14:textId="5BB7A9F3" w:rsidR="0006116B" w:rsidRPr="00764FC3" w:rsidRDefault="00CA2FA7" w:rsidP="00FF3BB3">
      <w:pPr>
        <w:rPr>
          <w:b/>
          <w:lang w:val="sr-Latn-RS"/>
        </w:rPr>
      </w:pPr>
      <w:r>
        <w:rPr>
          <w:noProof/>
          <w:lang w:val="en-GB" w:eastAsia="en-GB"/>
          <w14:ligatures w14:val="standardContextual"/>
        </w:rPr>
        <w:drawing>
          <wp:anchor distT="0" distB="0" distL="114300" distR="114300" simplePos="0" relativeHeight="251824128" behindDoc="0" locked="0" layoutInCell="1" allowOverlap="1" wp14:anchorId="1D2359AD" wp14:editId="5AC1C58F">
            <wp:simplePos x="0" y="0"/>
            <wp:positionH relativeFrom="column">
              <wp:posOffset>1895475</wp:posOffset>
            </wp:positionH>
            <wp:positionV relativeFrom="paragraph">
              <wp:posOffset>142875</wp:posOffset>
            </wp:positionV>
            <wp:extent cx="3840480" cy="2257200"/>
            <wp:effectExtent l="0" t="0" r="7620" b="10160"/>
            <wp:wrapSquare wrapText="bothSides"/>
            <wp:docPr id="37" name="Chart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V relativeFrom="margin">
              <wp14:pctHeight>0</wp14:pctHeight>
            </wp14:sizeRelV>
          </wp:anchor>
        </w:drawing>
      </w:r>
      <w:r w:rsidR="0006116B" w:rsidRPr="00764FC3">
        <w:rPr>
          <w:b/>
          <w:lang w:val="sr-Latn-RS"/>
        </w:rPr>
        <w:t xml:space="preserve">Procena minimalnih uslova za </w:t>
      </w:r>
      <w:r w:rsidR="00F41E1B">
        <w:rPr>
          <w:b/>
          <w:lang w:val="sr-Latn-RS"/>
        </w:rPr>
        <w:t>202</w:t>
      </w:r>
      <w:r w:rsidR="00803579">
        <w:rPr>
          <w:b/>
          <w:lang w:val="sr-Latn-RS"/>
        </w:rPr>
        <w:t>4</w:t>
      </w:r>
      <w:r w:rsidR="0006116B" w:rsidRPr="00764FC3">
        <w:rPr>
          <w:b/>
          <w:lang w:val="sr-Latn-RS"/>
        </w:rPr>
        <w:t>. godinu</w:t>
      </w:r>
    </w:p>
    <w:p w14:paraId="2E3FCAE6" w14:textId="3FC7F669" w:rsidR="00CA2FA7" w:rsidRDefault="00CA2FA7" w:rsidP="00CA2FA7">
      <w:pPr>
        <w:jc w:val="both"/>
        <w:rPr>
          <w:rFonts w:cstheme="majorHAnsi"/>
          <w:lang w:val="sr-Latn-RS"/>
        </w:rPr>
      </w:pPr>
      <w:r w:rsidRPr="00764FC3">
        <w:rPr>
          <w:rFonts w:cstheme="majorHAnsi"/>
          <w:lang w:val="sr-Latn-RS"/>
        </w:rPr>
        <w:t xml:space="preserve">Opština </w:t>
      </w:r>
      <w:r>
        <w:rPr>
          <w:rFonts w:cstheme="majorHAnsi"/>
          <w:lang w:val="sr-Latn-RS"/>
        </w:rPr>
        <w:t>Glogovac</w:t>
      </w:r>
      <w:r w:rsidRPr="00764FC3">
        <w:rPr>
          <w:rFonts w:cstheme="majorHAnsi"/>
          <w:lang w:val="sr-Latn-RS"/>
        </w:rPr>
        <w:t xml:space="preserve"> se nije kvalifikovala za grant za opštinski učinak za 202</w:t>
      </w:r>
      <w:r>
        <w:rPr>
          <w:rFonts w:cstheme="majorHAnsi"/>
          <w:lang w:val="sr-Latn-RS"/>
        </w:rPr>
        <w:t>6</w:t>
      </w:r>
      <w:r w:rsidRPr="00764FC3">
        <w:rPr>
          <w:rFonts w:cstheme="majorHAnsi"/>
          <w:lang w:val="sr-Latn-RS"/>
        </w:rPr>
        <w:t xml:space="preserve">. godinu, na osnovu učinka za </w:t>
      </w:r>
      <w:r>
        <w:rPr>
          <w:rFonts w:cstheme="majorHAnsi"/>
          <w:lang w:val="sr-Latn-RS"/>
        </w:rPr>
        <w:t>2024</w:t>
      </w:r>
      <w:r w:rsidRPr="00764FC3">
        <w:rPr>
          <w:rFonts w:cstheme="majorHAnsi"/>
          <w:lang w:val="sr-Latn-RS"/>
        </w:rPr>
        <w:t>. godinu</w:t>
      </w:r>
    </w:p>
    <w:p w14:paraId="7A59CF1B" w14:textId="4903B4E7" w:rsidR="00CA2FA7" w:rsidRPr="00764FC3" w:rsidRDefault="00CA2FA7" w:rsidP="00CA2FA7">
      <w:pPr>
        <w:jc w:val="both"/>
        <w:rPr>
          <w:rFonts w:cstheme="majorHAnsi"/>
          <w:lang w:val="sr-Latn-RS"/>
        </w:rPr>
      </w:pPr>
      <w:r w:rsidRPr="00764FC3">
        <w:rPr>
          <w:rFonts w:cstheme="majorHAnsi"/>
          <w:lang w:val="sr-Latn-RS"/>
        </w:rPr>
        <w:t>Minimalni uslov broj 3 (revizorsko mišljenje treba da bude u najmanju ruku neizmenjeno sa isticanjem pitanja</w:t>
      </w:r>
      <w:r>
        <w:rPr>
          <w:rFonts w:cstheme="majorHAnsi"/>
          <w:lang w:val="sr-Latn-RS"/>
        </w:rPr>
        <w:t xml:space="preserve">) </w:t>
      </w:r>
      <w:r w:rsidRPr="00764FC3">
        <w:rPr>
          <w:rFonts w:cstheme="majorHAnsi"/>
          <w:lang w:val="sr-Latn-RS"/>
        </w:rPr>
        <w:t>ni</w:t>
      </w:r>
      <w:r>
        <w:rPr>
          <w:rFonts w:cstheme="majorHAnsi"/>
          <w:lang w:val="sr-Latn-RS"/>
        </w:rPr>
        <w:t>je</w:t>
      </w:r>
      <w:r w:rsidRPr="00764FC3">
        <w:rPr>
          <w:rFonts w:cstheme="majorHAnsi"/>
          <w:lang w:val="sr-Latn-RS"/>
        </w:rPr>
        <w:t xml:space="preserve"> ispunjen.</w:t>
      </w:r>
    </w:p>
    <w:p w14:paraId="0EC8997D" w14:textId="77777777" w:rsidR="0006116B" w:rsidRPr="00764FC3" w:rsidRDefault="0006116B" w:rsidP="00FF3BB3">
      <w:pPr>
        <w:rPr>
          <w:b/>
          <w:lang w:val="sr-Latn-RS"/>
        </w:rPr>
      </w:pPr>
    </w:p>
    <w:p w14:paraId="40B51857" w14:textId="0DA995E7" w:rsidR="0006116B" w:rsidRPr="00764FC3" w:rsidRDefault="00CC1070"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7E73A9D4" w14:textId="3A31C141" w:rsidR="0006116B" w:rsidRPr="00764FC3" w:rsidRDefault="006F2EA4" w:rsidP="00FF3BB3">
      <w:pPr>
        <w:jc w:val="both"/>
        <w:rPr>
          <w:noProof/>
          <w:lang w:val="sr-Latn-RS"/>
        </w:rPr>
      </w:pPr>
      <w:r>
        <w:rPr>
          <w:noProof/>
          <w:lang w:val="en-GB" w:eastAsia="en-GB"/>
          <w14:ligatures w14:val="standardContextual"/>
        </w:rPr>
        <w:drawing>
          <wp:anchor distT="0" distB="0" distL="114300" distR="114300" simplePos="0" relativeHeight="251825152" behindDoc="0" locked="0" layoutInCell="1" allowOverlap="1" wp14:anchorId="3655672F" wp14:editId="4BDB6C0F">
            <wp:simplePos x="0" y="0"/>
            <wp:positionH relativeFrom="column">
              <wp:posOffset>1895475</wp:posOffset>
            </wp:positionH>
            <wp:positionV relativeFrom="paragraph">
              <wp:posOffset>440055</wp:posOffset>
            </wp:positionV>
            <wp:extent cx="3840480" cy="2743200"/>
            <wp:effectExtent l="0" t="0" r="7620" b="0"/>
            <wp:wrapSquare wrapText="bothSides"/>
            <wp:docPr id="38" name="Chart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rsidRPr="00764FC3">
        <w:rPr>
          <w:rFonts w:cstheme="majorHAnsi"/>
          <w:lang w:val="sr-Latn-RS"/>
        </w:rPr>
        <w:t xml:space="preserve"> </w:t>
      </w:r>
      <w:r w:rsidR="00CC1070" w:rsidRPr="00764FC3">
        <w:rPr>
          <w:rFonts w:cstheme="majorHAnsi"/>
          <w:lang w:val="sr-Latn-RS"/>
        </w:rPr>
        <w:t xml:space="preserve">Prosečni </w:t>
      </w:r>
      <w:r w:rsidR="0006116B" w:rsidRPr="00764FC3">
        <w:rPr>
          <w:rFonts w:cstheme="majorHAnsi"/>
          <w:lang w:val="sr-Latn-RS"/>
        </w:rPr>
        <w:t xml:space="preserve">učinak </w:t>
      </w:r>
      <w:r w:rsidR="00C11405" w:rsidRPr="00764FC3">
        <w:rPr>
          <w:rFonts w:cstheme="majorHAnsi"/>
          <w:lang w:val="sr-Latn-RS"/>
        </w:rPr>
        <w:t xml:space="preserve">Opštine </w:t>
      </w:r>
      <w:r w:rsidR="00CC1070" w:rsidRPr="00764FC3">
        <w:rPr>
          <w:rFonts w:cstheme="majorHAnsi"/>
          <w:lang w:val="sr-Latn-RS"/>
        </w:rPr>
        <w:t>Glogovac</w:t>
      </w:r>
      <w:r w:rsidR="0006116B" w:rsidRPr="00764FC3">
        <w:rPr>
          <w:rFonts w:cstheme="majorHAnsi"/>
          <w:lang w:val="sr-Latn-RS"/>
        </w:rPr>
        <w:t xml:space="preserve">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 xml:space="preserve">procenjenih </w:t>
      </w:r>
      <w:r w:rsidR="005A35F3" w:rsidRPr="00764FC3">
        <w:rPr>
          <w:rFonts w:cstheme="majorHAnsi"/>
          <w:lang w:val="sr-Latn-RS"/>
        </w:rPr>
        <w:t>pokazatelj</w:t>
      </w:r>
      <w:r w:rsidR="0006116B" w:rsidRPr="00764FC3">
        <w:rPr>
          <w:rFonts w:cstheme="majorHAnsi"/>
          <w:lang w:val="sr-Latn-RS"/>
        </w:rPr>
        <w:t xml:space="preserve">a je </w:t>
      </w:r>
      <w:r>
        <w:rPr>
          <w:rFonts w:cstheme="majorHAnsi"/>
          <w:lang w:val="sr-Latn-RS"/>
        </w:rPr>
        <w:t>78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Pr>
          <w:rFonts w:cstheme="majorHAnsi"/>
          <w:lang w:val="sr-Latn-RS"/>
        </w:rPr>
        <w:t>98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76.53</w:t>
      </w:r>
      <w:r w:rsidR="0006116B" w:rsidRPr="00764FC3">
        <w:rPr>
          <w:rFonts w:cstheme="majorHAnsi"/>
          <w:lang w:val="sr-Latn-RS"/>
        </w:rPr>
        <w:t>%).</w:t>
      </w:r>
      <w:r w:rsidR="0006116B" w:rsidRPr="00764FC3">
        <w:rPr>
          <w:noProof/>
          <w:lang w:val="sr-Latn-RS"/>
        </w:rPr>
        <w:t xml:space="preserve"> </w:t>
      </w:r>
    </w:p>
    <w:p w14:paraId="36471D42" w14:textId="0DCADA9F" w:rsidR="0006116B" w:rsidRPr="00764FC3" w:rsidRDefault="00CC1070"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učinak u 1</w:t>
      </w:r>
      <w:r w:rsidR="006F2EA4">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u okviru oblasti „Demokratsko upravljanje“ iznosi 3</w:t>
      </w:r>
      <w:r w:rsidR="006F2EA4">
        <w:rPr>
          <w:rFonts w:cstheme="majorHAnsi"/>
          <w:lang w:val="sr-Latn-RS"/>
        </w:rPr>
        <w:t>7</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6F2EA4">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92.50</w:t>
      </w:r>
      <w:r w:rsidR="0006116B" w:rsidRPr="00764FC3">
        <w:rPr>
          <w:rFonts w:cstheme="majorHAnsi"/>
          <w:lang w:val="sr-Latn-RS"/>
        </w:rPr>
        <w:t>%).</w:t>
      </w:r>
    </w:p>
    <w:p w14:paraId="613A2E8A" w14:textId="76FC2051" w:rsidR="0006116B" w:rsidRPr="00764FC3" w:rsidRDefault="00CC1070"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6F2EA4">
        <w:rPr>
          <w:rFonts w:cstheme="majorHAnsi"/>
          <w:lang w:val="sr-Latn-RS"/>
        </w:rPr>
        <w:t>20</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6F2EA4">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71.43</w:t>
      </w:r>
      <w:r w:rsidR="0006116B" w:rsidRPr="00764FC3">
        <w:rPr>
          <w:rFonts w:cstheme="majorHAnsi"/>
          <w:lang w:val="sr-Latn-RS"/>
        </w:rPr>
        <w:t>%).</w:t>
      </w:r>
    </w:p>
    <w:p w14:paraId="10183B81" w14:textId="387BE472" w:rsidR="0006116B" w:rsidRPr="00764FC3" w:rsidRDefault="00CC1070" w:rsidP="00FF3BB3">
      <w:pPr>
        <w:jc w:val="both"/>
        <w:rPr>
          <w:rFonts w:cstheme="majorHAnsi"/>
          <w:lang w:val="sr-Latn-RS"/>
        </w:rPr>
      </w:pPr>
      <w:r w:rsidRPr="00764FC3">
        <w:rPr>
          <w:rFonts w:cstheme="majorHAnsi"/>
          <w:lang w:val="sr-Latn-RS"/>
        </w:rPr>
        <w:t xml:space="preserve">Prosečni </w:t>
      </w:r>
      <w:r w:rsidR="0006116B" w:rsidRPr="00764FC3">
        <w:rPr>
          <w:rFonts w:cstheme="majorHAnsi"/>
          <w:lang w:val="sr-Latn-RS"/>
        </w:rPr>
        <w:t xml:space="preserve">učinak u </w:t>
      </w:r>
      <w:r w:rsidR="006F2EA4">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„Pružanje usluga“ je </w:t>
      </w:r>
      <w:r w:rsidR="006F2EA4">
        <w:rPr>
          <w:rFonts w:cstheme="majorHAnsi"/>
          <w:lang w:val="sr-Latn-RS"/>
        </w:rPr>
        <w:t>18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6F2EA4">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60.00</w:t>
      </w:r>
      <w:r w:rsidR="0006116B" w:rsidRPr="00764FC3">
        <w:rPr>
          <w:rFonts w:cstheme="majorHAnsi"/>
          <w:lang w:val="sr-Latn-RS"/>
        </w:rPr>
        <w:t>%).</w:t>
      </w:r>
    </w:p>
    <w:p w14:paraId="0CAF6F66" w14:textId="77777777" w:rsidR="0006116B" w:rsidRPr="00764FC3" w:rsidRDefault="0006116B" w:rsidP="00FF3BB3">
      <w:pPr>
        <w:jc w:val="both"/>
        <w:rPr>
          <w:lang w:val="sr-Latn-RS"/>
        </w:rPr>
      </w:pPr>
    </w:p>
    <w:p w14:paraId="415163FC" w14:textId="77777777" w:rsidR="0006116B" w:rsidRPr="00764FC3" w:rsidRDefault="0006116B" w:rsidP="00FF3BB3">
      <w:pPr>
        <w:rPr>
          <w:lang w:val="sr-Latn-RS"/>
        </w:rPr>
      </w:pPr>
    </w:p>
    <w:p w14:paraId="6A75A2C5" w14:textId="77777777" w:rsidR="0006116B" w:rsidRPr="00764FC3" w:rsidRDefault="0006116B" w:rsidP="00FF3BB3">
      <w:pPr>
        <w:rPr>
          <w:lang w:val="sr-Latn-RS"/>
        </w:rPr>
      </w:pPr>
    </w:p>
    <w:p w14:paraId="3DF252CE"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145F909D" w14:textId="41D1CEC8" w:rsidR="0006116B" w:rsidRPr="00764FC3" w:rsidRDefault="005325A3"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opštinski učinak - Opština Gračanica</w:t>
      </w:r>
    </w:p>
    <w:p w14:paraId="313BA077" w14:textId="3C93DB55" w:rsidR="0006116B" w:rsidRPr="00764FC3" w:rsidRDefault="006F2EA4" w:rsidP="00FF3BB3">
      <w:pPr>
        <w:rPr>
          <w:b/>
          <w:lang w:val="sr-Latn-RS"/>
        </w:rPr>
      </w:pPr>
      <w:r>
        <w:rPr>
          <w:noProof/>
          <w:lang w:val="en-GB" w:eastAsia="en-GB"/>
          <w14:ligatures w14:val="standardContextual"/>
        </w:rPr>
        <w:drawing>
          <wp:anchor distT="0" distB="0" distL="114300" distR="114300" simplePos="0" relativeHeight="251826176" behindDoc="0" locked="0" layoutInCell="1" allowOverlap="1" wp14:anchorId="00ADEA05" wp14:editId="56C4F782">
            <wp:simplePos x="0" y="0"/>
            <wp:positionH relativeFrom="column">
              <wp:posOffset>2000250</wp:posOffset>
            </wp:positionH>
            <wp:positionV relativeFrom="paragraph">
              <wp:posOffset>285750</wp:posOffset>
            </wp:positionV>
            <wp:extent cx="3840480" cy="2257200"/>
            <wp:effectExtent l="0" t="0" r="7620" b="10160"/>
            <wp:wrapSquare wrapText="bothSides"/>
            <wp:docPr id="39" name="Chart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V relativeFrom="margin">
              <wp14:pctHeight>0</wp14:pctHeight>
            </wp14:sizeRelV>
          </wp:anchor>
        </w:drawing>
      </w:r>
      <w:r w:rsidR="0006116B" w:rsidRPr="00764FC3">
        <w:rPr>
          <w:b/>
          <w:lang w:val="sr-Latn-RS"/>
        </w:rPr>
        <w:t xml:space="preserve">Procena minimalnih uslova za </w:t>
      </w:r>
      <w:r w:rsidR="00F41E1B">
        <w:rPr>
          <w:b/>
          <w:lang w:val="sr-Latn-RS"/>
        </w:rPr>
        <w:t>202</w:t>
      </w:r>
      <w:r w:rsidR="00803579">
        <w:rPr>
          <w:b/>
          <w:lang w:val="sr-Latn-RS"/>
        </w:rPr>
        <w:t>4</w:t>
      </w:r>
      <w:r w:rsidR="0006116B" w:rsidRPr="00764FC3">
        <w:rPr>
          <w:b/>
          <w:lang w:val="sr-Latn-RS"/>
        </w:rPr>
        <w:t>. godinu</w:t>
      </w:r>
    </w:p>
    <w:p w14:paraId="67F1B7AE" w14:textId="2D6EEF51" w:rsidR="007D5517" w:rsidRPr="00764FC3" w:rsidRDefault="006F2EA4" w:rsidP="00FF3BB3">
      <w:pPr>
        <w:jc w:val="both"/>
        <w:rPr>
          <w:rFonts w:cstheme="majorHAnsi"/>
          <w:lang w:val="sr-Latn-RS"/>
        </w:rPr>
      </w:pPr>
      <w:r w:rsidRPr="00764FC3">
        <w:rPr>
          <w:rFonts w:cstheme="majorHAnsi"/>
          <w:lang w:val="sr-Latn-RS"/>
        </w:rPr>
        <w:t xml:space="preserve"> </w:t>
      </w:r>
      <w:r w:rsidR="0006116B" w:rsidRPr="00764FC3">
        <w:rPr>
          <w:rFonts w:cstheme="majorHAnsi"/>
          <w:lang w:val="sr-Latn-RS"/>
        </w:rPr>
        <w:t xml:space="preserve">Opština Gračanica se nije kvalifikovala </w:t>
      </w:r>
      <w:r w:rsidR="007D5517" w:rsidRPr="00764FC3">
        <w:rPr>
          <w:rFonts w:cstheme="majorHAnsi"/>
          <w:lang w:val="sr-Latn-RS"/>
        </w:rPr>
        <w:t>za grant za opštinski učinak za 202</w:t>
      </w:r>
      <w:r>
        <w:rPr>
          <w:rFonts w:cstheme="majorHAnsi"/>
          <w:lang w:val="sr-Latn-RS"/>
        </w:rPr>
        <w:t>6</w:t>
      </w:r>
      <w:r w:rsidR="007D5517" w:rsidRPr="00764FC3">
        <w:rPr>
          <w:rFonts w:cstheme="majorHAnsi"/>
          <w:lang w:val="sr-Latn-RS"/>
        </w:rPr>
        <w:t xml:space="preserve">. godinu, na osnovu učinka za </w:t>
      </w:r>
      <w:r w:rsidR="00F41E1B">
        <w:rPr>
          <w:rFonts w:cstheme="majorHAnsi"/>
          <w:lang w:val="sr-Latn-RS"/>
        </w:rPr>
        <w:t>2024</w:t>
      </w:r>
      <w:r w:rsidR="007D5517" w:rsidRPr="00764FC3">
        <w:rPr>
          <w:rFonts w:cstheme="majorHAnsi"/>
          <w:lang w:val="sr-Latn-RS"/>
        </w:rPr>
        <w:t>. godinu.</w:t>
      </w:r>
    </w:p>
    <w:p w14:paraId="64DE1391" w14:textId="514775C5" w:rsidR="0006116B" w:rsidRPr="00764FC3" w:rsidRDefault="006F2EA4" w:rsidP="00FF3BB3">
      <w:pPr>
        <w:jc w:val="both"/>
        <w:rPr>
          <w:rFonts w:cstheme="majorHAnsi"/>
          <w:lang w:val="sr-Latn-RS"/>
        </w:rPr>
      </w:pPr>
      <w:r w:rsidRPr="00764FC3">
        <w:rPr>
          <w:rFonts w:cstheme="majorHAnsi"/>
        </w:rPr>
        <w:t>Minimalni uslovi: broj 2 (opštine moraju preispitati sve opštinske akte koje su nadzorni organi ocenili kao nezakonite u skladu sa zakonskim zahtevima) i broj 3 (revizorsko mišljenje mora biti najmanje nemodifikovano sa akcentom na to pitanje)</w:t>
      </w:r>
      <w:r>
        <w:rPr>
          <w:rFonts w:cstheme="majorHAnsi"/>
        </w:rPr>
        <w:t>, nisu ispunjeni.</w:t>
      </w:r>
    </w:p>
    <w:p w14:paraId="13FCEC4C" w14:textId="77777777" w:rsidR="0006116B" w:rsidRPr="00764FC3" w:rsidRDefault="0006116B" w:rsidP="00FF3BB3">
      <w:pPr>
        <w:tabs>
          <w:tab w:val="left" w:pos="1190"/>
        </w:tabs>
        <w:rPr>
          <w:b/>
          <w:lang w:val="sr-Latn-RS"/>
        </w:rPr>
      </w:pPr>
    </w:p>
    <w:p w14:paraId="6901E1C5" w14:textId="27010EFE" w:rsidR="0006116B" w:rsidRPr="00764FC3" w:rsidRDefault="00CC1070"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083F2B52" w14:textId="460623D3" w:rsidR="0006116B" w:rsidRPr="00764FC3" w:rsidRDefault="006F2EA4" w:rsidP="00FF3BB3">
      <w:pPr>
        <w:jc w:val="both"/>
        <w:rPr>
          <w:rFonts w:cstheme="majorHAnsi"/>
          <w:lang w:val="sr-Latn-RS"/>
        </w:rPr>
      </w:pPr>
      <w:r>
        <w:rPr>
          <w:noProof/>
          <w:lang w:val="en-GB" w:eastAsia="en-GB"/>
          <w14:ligatures w14:val="standardContextual"/>
        </w:rPr>
        <w:drawing>
          <wp:anchor distT="0" distB="0" distL="114300" distR="114300" simplePos="0" relativeHeight="251827200" behindDoc="0" locked="0" layoutInCell="1" allowOverlap="1" wp14:anchorId="243B3961" wp14:editId="65BA549C">
            <wp:simplePos x="0" y="0"/>
            <wp:positionH relativeFrom="column">
              <wp:posOffset>1857375</wp:posOffset>
            </wp:positionH>
            <wp:positionV relativeFrom="paragraph">
              <wp:posOffset>462280</wp:posOffset>
            </wp:positionV>
            <wp:extent cx="3840480" cy="2743200"/>
            <wp:effectExtent l="0" t="0" r="7620" b="0"/>
            <wp:wrapSquare wrapText="bothSides"/>
            <wp:docPr id="40" name="Chart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sidR="00CC1070" w:rsidRPr="00764FC3">
        <w:rPr>
          <w:rFonts w:cstheme="majorHAnsi"/>
          <w:lang w:val="sr-Latn-RS"/>
        </w:rPr>
        <w:t xml:space="preserve">Prosečan </w:t>
      </w:r>
      <w:r w:rsidR="0006116B" w:rsidRPr="00764FC3">
        <w:rPr>
          <w:rFonts w:cstheme="majorHAnsi"/>
          <w:lang w:val="sr-Latn-RS"/>
        </w:rPr>
        <w:t xml:space="preserve">učinak opštine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 xml:space="preserve">procenjenih </w:t>
      </w:r>
      <w:r w:rsidR="0006116B" w:rsidRPr="00764FC3">
        <w:rPr>
          <w:rFonts w:cstheme="majorHAnsi"/>
          <w:lang w:val="sr-Latn-RS"/>
        </w:rPr>
        <w:t>pokazatelja je 2</w:t>
      </w:r>
      <w:r>
        <w:rPr>
          <w:rFonts w:cstheme="majorHAnsi"/>
          <w:lang w:val="sr-Latn-RS"/>
        </w:rPr>
        <w:t>6</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26.53</w:t>
      </w:r>
      <w:r w:rsidR="0006116B" w:rsidRPr="00764FC3">
        <w:rPr>
          <w:rFonts w:cstheme="majorHAnsi"/>
          <w:lang w:val="sr-Latn-RS"/>
        </w:rPr>
        <w:t>%).</w:t>
      </w:r>
      <w:r w:rsidR="0006116B" w:rsidRPr="00764FC3">
        <w:rPr>
          <w:noProof/>
          <w:lang w:val="sr-Latn-RS"/>
        </w:rPr>
        <w:t xml:space="preserve"> </w:t>
      </w:r>
    </w:p>
    <w:p w14:paraId="7A6D99B7" w14:textId="05170E51"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w:t>
      </w:r>
      <w:r w:rsidR="006F2EA4">
        <w:rPr>
          <w:rFonts w:cstheme="majorHAnsi"/>
          <w:lang w:val="sr-Latn-RS"/>
        </w:rPr>
        <w:t>13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„Demokratsko upravljanje“ je </w:t>
      </w:r>
      <w:r w:rsidR="006F2EA4">
        <w:rPr>
          <w:rFonts w:cstheme="majorHAnsi"/>
          <w:lang w:val="sr-Latn-RS"/>
        </w:rPr>
        <w:t>19</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6F2EA4">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47.50</w:t>
      </w:r>
      <w:r w:rsidR="0006116B" w:rsidRPr="00764FC3">
        <w:rPr>
          <w:rFonts w:cstheme="majorHAnsi"/>
          <w:lang w:val="sr-Latn-RS"/>
        </w:rPr>
        <w:t>%).</w:t>
      </w:r>
    </w:p>
    <w:p w14:paraId="59AEF2C5" w14:textId="58D3CC97"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6F2EA4">
        <w:rPr>
          <w:rFonts w:cstheme="majorHAnsi"/>
          <w:lang w:val="sr-Latn-RS"/>
        </w:rPr>
        <w:t>4</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6F2EA4">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14.29</w:t>
      </w:r>
      <w:r w:rsidR="0006116B" w:rsidRPr="00764FC3">
        <w:rPr>
          <w:rFonts w:cstheme="majorHAnsi"/>
          <w:lang w:val="sr-Latn-RS"/>
        </w:rPr>
        <w:t>%).</w:t>
      </w:r>
    </w:p>
    <w:p w14:paraId="27A461FC" w14:textId="6D0E03DA"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w:t>
      </w:r>
      <w:r w:rsidR="006F2EA4">
        <w:rPr>
          <w:rFonts w:cstheme="majorHAnsi"/>
          <w:lang w:val="sr-Latn-RS"/>
        </w:rPr>
        <w:t xml:space="preserve">9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„Pružanje usluga“ je </w:t>
      </w:r>
      <w:r w:rsidR="006F2EA4">
        <w:rPr>
          <w:rFonts w:cstheme="majorHAnsi"/>
          <w:lang w:val="sr-Latn-RS"/>
        </w:rPr>
        <w:t>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6F2EA4">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6F2EA4">
        <w:rPr>
          <w:rFonts w:cstheme="majorHAnsi"/>
          <w:lang w:val="sr-Latn-RS"/>
        </w:rPr>
        <w:t>10.00</w:t>
      </w:r>
      <w:r w:rsidR="0006116B" w:rsidRPr="00764FC3">
        <w:rPr>
          <w:rFonts w:cstheme="majorHAnsi"/>
          <w:lang w:val="sr-Latn-RS"/>
        </w:rPr>
        <w:t>%).</w:t>
      </w:r>
    </w:p>
    <w:p w14:paraId="684FC208" w14:textId="77777777" w:rsidR="0006116B" w:rsidRPr="00764FC3" w:rsidRDefault="0006116B" w:rsidP="00FF3BB3">
      <w:pPr>
        <w:jc w:val="both"/>
        <w:rPr>
          <w:lang w:val="sr-Latn-RS"/>
        </w:rPr>
      </w:pPr>
    </w:p>
    <w:p w14:paraId="56D3A3AB" w14:textId="77777777" w:rsidR="0006116B" w:rsidRPr="00764FC3" w:rsidRDefault="0006116B" w:rsidP="00FF3BB3">
      <w:pPr>
        <w:rPr>
          <w:lang w:val="sr-Latn-RS"/>
        </w:rPr>
      </w:pPr>
    </w:p>
    <w:p w14:paraId="103AAD24" w14:textId="77777777" w:rsidR="0006116B" w:rsidRPr="00764FC3" w:rsidRDefault="0006116B" w:rsidP="00FF3BB3">
      <w:pPr>
        <w:rPr>
          <w:lang w:val="sr-Latn-RS"/>
        </w:rPr>
      </w:pPr>
    </w:p>
    <w:p w14:paraId="3C20E610"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5526D9B7" w14:textId="3D0118E5" w:rsidR="0006116B" w:rsidRPr="00764FC3" w:rsidRDefault="00CC1070"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w:t>
      </w:r>
      <w:r w:rsidRPr="00764FC3">
        <w:rPr>
          <w:rFonts w:eastAsiaTheme="majorEastAsia" w:cs="Calibri Light"/>
          <w:b/>
          <w:noProof/>
          <w:lang w:val="sr-Latn-RS"/>
        </w:rPr>
        <w:t xml:space="preserve">inski učinak - Opština </w:t>
      </w:r>
      <w:r w:rsidR="006F2EA4">
        <w:rPr>
          <w:rFonts w:eastAsiaTheme="majorEastAsia" w:cs="Calibri Light"/>
          <w:b/>
          <w:noProof/>
          <w:lang w:val="sr-Latn-RS"/>
        </w:rPr>
        <w:t>Đeneral Janković</w:t>
      </w:r>
    </w:p>
    <w:p w14:paraId="4E7B1C85" w14:textId="0E7748EB" w:rsidR="0006116B" w:rsidRPr="00764FC3" w:rsidRDefault="0006116B" w:rsidP="00FF3BB3">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6401E864" w14:textId="4739D36D" w:rsidR="0006116B" w:rsidRPr="00764FC3" w:rsidRDefault="006F2EA4" w:rsidP="00FF3BB3">
      <w:pPr>
        <w:jc w:val="both"/>
        <w:rPr>
          <w:rFonts w:cstheme="majorHAnsi"/>
          <w:lang w:val="sr-Latn-RS"/>
        </w:rPr>
      </w:pPr>
      <w:r>
        <w:rPr>
          <w:noProof/>
          <w:lang w:val="en-GB" w:eastAsia="en-GB"/>
          <w14:ligatures w14:val="standardContextual"/>
        </w:rPr>
        <w:drawing>
          <wp:anchor distT="0" distB="0" distL="114300" distR="114300" simplePos="0" relativeHeight="251828224" behindDoc="0" locked="0" layoutInCell="1" allowOverlap="1" wp14:anchorId="1C6E9F38" wp14:editId="51193337">
            <wp:simplePos x="0" y="0"/>
            <wp:positionH relativeFrom="column">
              <wp:posOffset>1891665</wp:posOffset>
            </wp:positionH>
            <wp:positionV relativeFrom="paragraph">
              <wp:posOffset>66675</wp:posOffset>
            </wp:positionV>
            <wp:extent cx="3840480" cy="2743200"/>
            <wp:effectExtent l="0" t="0" r="7620" b="0"/>
            <wp:wrapSquare wrapText="bothSides"/>
            <wp:docPr id="41" name="Chart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06116B" w:rsidRPr="00764FC3">
        <w:rPr>
          <w:rFonts w:cstheme="majorHAnsi"/>
          <w:lang w:val="sr-Latn-RS"/>
        </w:rPr>
        <w:t xml:space="preserve">Opština </w:t>
      </w:r>
      <w:r>
        <w:rPr>
          <w:rFonts w:cstheme="majorHAnsi"/>
          <w:lang w:val="sr-Latn-RS"/>
        </w:rPr>
        <w:t>Đeneral Janković</w:t>
      </w:r>
      <w:r w:rsidR="0006116B" w:rsidRPr="00764FC3">
        <w:rPr>
          <w:rFonts w:cstheme="majorHAnsi"/>
          <w:lang w:val="sr-Latn-RS"/>
        </w:rPr>
        <w:t xml:space="preserve"> se nije kvalifikovala </w:t>
      </w:r>
      <w:r w:rsidR="00B4105C" w:rsidRPr="00764FC3">
        <w:rPr>
          <w:rFonts w:cstheme="majorHAnsi"/>
          <w:lang w:val="sr-Latn-RS"/>
        </w:rPr>
        <w:t>za grant za opštinski učinak za 202</w:t>
      </w:r>
      <w:r>
        <w:rPr>
          <w:rFonts w:cstheme="majorHAnsi"/>
          <w:lang w:val="sr-Latn-RS"/>
        </w:rPr>
        <w:t>6</w:t>
      </w:r>
      <w:r w:rsidR="00B4105C" w:rsidRPr="00764FC3">
        <w:rPr>
          <w:rFonts w:cstheme="majorHAnsi"/>
          <w:lang w:val="sr-Latn-RS"/>
        </w:rPr>
        <w:t xml:space="preserve">. godinu, na osnovu učinka za </w:t>
      </w:r>
      <w:r w:rsidR="00F41E1B">
        <w:rPr>
          <w:rFonts w:cstheme="majorHAnsi"/>
          <w:lang w:val="sr-Latn-RS"/>
        </w:rPr>
        <w:t>2024</w:t>
      </w:r>
      <w:r w:rsidR="00B4105C" w:rsidRPr="00764FC3">
        <w:rPr>
          <w:rFonts w:cstheme="majorHAnsi"/>
          <w:lang w:val="sr-Latn-RS"/>
        </w:rPr>
        <w:t>. godinu.</w:t>
      </w:r>
      <w:r w:rsidR="000A5E76" w:rsidRPr="00764FC3">
        <w:rPr>
          <w:rFonts w:cstheme="majorHAnsi"/>
          <w:noProof/>
          <w:lang w:val="en-US"/>
        </w:rPr>
        <w:t xml:space="preserve"> </w:t>
      </w:r>
    </w:p>
    <w:p w14:paraId="383D2882" w14:textId="2B2FBF7C" w:rsidR="0006116B" w:rsidRPr="00764FC3" w:rsidRDefault="0006116B" w:rsidP="00FF3BB3">
      <w:pPr>
        <w:jc w:val="both"/>
        <w:rPr>
          <w:rFonts w:cstheme="majorHAnsi"/>
          <w:lang w:val="sr-Latn-RS"/>
        </w:rPr>
      </w:pPr>
      <w:r w:rsidRPr="00764FC3">
        <w:rPr>
          <w:rFonts w:cstheme="majorHAnsi"/>
          <w:lang w:val="sr-Latn-RS"/>
        </w:rPr>
        <w:t xml:space="preserve">Minimalni uslov broj 4 (stopa rashoda budžeta za kapitalne investicije za </w:t>
      </w:r>
      <w:r w:rsidR="00F41E1B">
        <w:rPr>
          <w:rFonts w:cstheme="majorHAnsi"/>
          <w:lang w:val="sr-Latn-RS"/>
        </w:rPr>
        <w:t>2024</w:t>
      </w:r>
      <w:r w:rsidRPr="00764FC3">
        <w:rPr>
          <w:rFonts w:cstheme="majorHAnsi"/>
          <w:lang w:val="sr-Latn-RS"/>
        </w:rPr>
        <w:t xml:space="preserve">. </w:t>
      </w:r>
      <w:r w:rsidR="00C11405" w:rsidRPr="00764FC3">
        <w:rPr>
          <w:rFonts w:cstheme="majorHAnsi"/>
          <w:lang w:val="sr-Latn-RS"/>
        </w:rPr>
        <w:t xml:space="preserve">godinu treba da bude </w:t>
      </w:r>
      <w:r w:rsidRPr="00764FC3">
        <w:rPr>
          <w:rFonts w:cstheme="majorHAnsi"/>
          <w:lang w:val="sr-Latn-RS"/>
        </w:rPr>
        <w:t>najmanje 75%) ni</w:t>
      </w:r>
      <w:r w:rsidR="008060AE">
        <w:rPr>
          <w:rFonts w:cstheme="majorHAnsi"/>
          <w:lang w:val="sr-Latn-RS"/>
        </w:rPr>
        <w:t>je</w:t>
      </w:r>
      <w:r w:rsidRPr="00764FC3">
        <w:rPr>
          <w:rFonts w:cstheme="majorHAnsi"/>
          <w:lang w:val="sr-Latn-RS"/>
        </w:rPr>
        <w:t xml:space="preserve"> ispunjen.</w:t>
      </w:r>
    </w:p>
    <w:p w14:paraId="1D47D773" w14:textId="77777777" w:rsidR="0006116B" w:rsidRPr="00764FC3" w:rsidRDefault="0006116B" w:rsidP="00FF3BB3">
      <w:pPr>
        <w:rPr>
          <w:lang w:val="sr-Latn-RS"/>
        </w:rPr>
      </w:pPr>
    </w:p>
    <w:p w14:paraId="6821108C" w14:textId="77777777" w:rsidR="0006116B" w:rsidRPr="00764FC3" w:rsidRDefault="0006116B" w:rsidP="00FF3BB3">
      <w:pPr>
        <w:tabs>
          <w:tab w:val="left" w:pos="1190"/>
        </w:tabs>
        <w:rPr>
          <w:b/>
          <w:lang w:val="sr-Latn-RS"/>
        </w:rPr>
      </w:pPr>
    </w:p>
    <w:p w14:paraId="5784A66C" w14:textId="77777777" w:rsidR="0006116B" w:rsidRPr="00764FC3" w:rsidRDefault="0006116B" w:rsidP="00FF3BB3">
      <w:pPr>
        <w:tabs>
          <w:tab w:val="left" w:pos="1190"/>
        </w:tabs>
        <w:rPr>
          <w:lang w:val="sr-Latn-RS"/>
        </w:rPr>
      </w:pPr>
    </w:p>
    <w:p w14:paraId="16F155BA" w14:textId="4B36708A" w:rsidR="0006116B" w:rsidRPr="00764FC3" w:rsidRDefault="00CC1070"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437287E7" w14:textId="57D64AF6" w:rsidR="0006116B" w:rsidRPr="00764FC3" w:rsidRDefault="008060AE" w:rsidP="00FF3BB3">
      <w:pPr>
        <w:jc w:val="both"/>
        <w:rPr>
          <w:rFonts w:cstheme="majorHAnsi"/>
          <w:lang w:val="sr-Latn-RS"/>
        </w:rPr>
      </w:pPr>
      <w:r>
        <w:rPr>
          <w:noProof/>
          <w:lang w:val="en-GB" w:eastAsia="en-GB"/>
          <w14:ligatures w14:val="standardContextual"/>
        </w:rPr>
        <w:drawing>
          <wp:anchor distT="0" distB="0" distL="114300" distR="114300" simplePos="0" relativeHeight="251829248" behindDoc="0" locked="0" layoutInCell="1" allowOverlap="1" wp14:anchorId="6E5C718D" wp14:editId="42616730">
            <wp:simplePos x="0" y="0"/>
            <wp:positionH relativeFrom="column">
              <wp:posOffset>1895475</wp:posOffset>
            </wp:positionH>
            <wp:positionV relativeFrom="paragraph">
              <wp:posOffset>128905</wp:posOffset>
            </wp:positionV>
            <wp:extent cx="3840480" cy="2743200"/>
            <wp:effectExtent l="0" t="0" r="7620" b="0"/>
            <wp:wrapSquare wrapText="bothSides"/>
            <wp:docPr id="42" name="Chart 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00CC1070" w:rsidRPr="00764FC3">
        <w:rPr>
          <w:rFonts w:cstheme="majorHAnsi"/>
          <w:lang w:val="sr-Latn-RS"/>
        </w:rPr>
        <w:t xml:space="preserve">Prosečan učinak Opštine </w:t>
      </w:r>
      <w:r>
        <w:rPr>
          <w:rFonts w:cstheme="majorHAnsi"/>
          <w:lang w:val="sr-Latn-RS"/>
        </w:rPr>
        <w:t>Đeneral Janković</w:t>
      </w:r>
      <w:r w:rsidR="0006116B" w:rsidRPr="00764FC3">
        <w:rPr>
          <w:rFonts w:cstheme="majorHAnsi"/>
          <w:lang w:val="sr-Latn-RS"/>
        </w:rPr>
        <w:t xml:space="preserve">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 xml:space="preserve">procenjenih </w:t>
      </w:r>
      <w:r w:rsidR="005A35F3" w:rsidRPr="00764FC3">
        <w:rPr>
          <w:rFonts w:cstheme="majorHAnsi"/>
          <w:lang w:val="sr-Latn-RS"/>
        </w:rPr>
        <w:t>pokazatelj</w:t>
      </w:r>
      <w:r w:rsidR="0006116B" w:rsidRPr="00764FC3">
        <w:rPr>
          <w:rFonts w:cstheme="majorHAnsi"/>
          <w:lang w:val="sr-Latn-RS"/>
        </w:rPr>
        <w:t>a je 6</w:t>
      </w:r>
      <w:r>
        <w:rPr>
          <w:rFonts w:cstheme="majorHAnsi"/>
          <w:lang w:val="sr-Latn-RS"/>
        </w:rPr>
        <w:t>1</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62,24</w:t>
      </w:r>
      <w:r w:rsidR="0006116B" w:rsidRPr="00764FC3">
        <w:rPr>
          <w:rFonts w:cstheme="majorHAnsi"/>
          <w:lang w:val="sr-Latn-RS"/>
        </w:rPr>
        <w:t>%).</w:t>
      </w:r>
      <w:r w:rsidR="0006116B" w:rsidRPr="00764FC3">
        <w:rPr>
          <w:noProof/>
          <w:lang w:val="sr-Latn-RS"/>
        </w:rPr>
        <w:t xml:space="preserve"> </w:t>
      </w:r>
    </w:p>
    <w:p w14:paraId="1BD47FC3" w14:textId="556DB17B"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učinak u 1</w:t>
      </w:r>
      <w:r w:rsidR="008060AE">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sidR="008060AE">
        <w:rPr>
          <w:rFonts w:cstheme="majorHAnsi"/>
          <w:lang w:val="sr-Latn-RS"/>
        </w:rPr>
        <w:t>33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8060AE">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8060AE">
        <w:rPr>
          <w:rFonts w:cstheme="majorHAnsi"/>
          <w:lang w:val="sr-Latn-RS"/>
        </w:rPr>
        <w:t>82,50</w:t>
      </w:r>
      <w:r w:rsidR="0006116B" w:rsidRPr="00764FC3">
        <w:rPr>
          <w:rFonts w:cstheme="majorHAnsi"/>
          <w:lang w:val="sr-Latn-RS"/>
        </w:rPr>
        <w:t>%).</w:t>
      </w:r>
    </w:p>
    <w:p w14:paraId="42362352" w14:textId="486ECC2E"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8060AE">
        <w:rPr>
          <w:rFonts w:cstheme="majorHAnsi"/>
          <w:lang w:val="sr-Latn-RS"/>
        </w:rPr>
        <w:t>13</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8060AE">
        <w:rPr>
          <w:rFonts w:cstheme="majorHAnsi"/>
          <w:lang w:val="sr-Latn-RS"/>
        </w:rPr>
        <w:t>28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8060AE">
        <w:rPr>
          <w:rFonts w:cstheme="majorHAnsi"/>
          <w:lang w:val="sr-Latn-RS"/>
        </w:rPr>
        <w:t>46,43</w:t>
      </w:r>
      <w:r w:rsidR="0006116B" w:rsidRPr="00764FC3">
        <w:rPr>
          <w:rFonts w:cstheme="majorHAnsi"/>
          <w:lang w:val="sr-Latn-RS"/>
        </w:rPr>
        <w:t>%).</w:t>
      </w:r>
    </w:p>
    <w:p w14:paraId="31F5E592" w14:textId="0CF955C0"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w:t>
      </w:r>
      <w:r w:rsidR="008060AE">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u okviru oblasti „Pružanje usluga“ je 1</w:t>
      </w:r>
      <w:r w:rsidR="008060AE">
        <w:rPr>
          <w:rFonts w:cstheme="majorHAnsi"/>
          <w:lang w:val="sr-Latn-RS"/>
        </w:rPr>
        <w:t>5</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8060AE">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(50,0%).</w:t>
      </w:r>
    </w:p>
    <w:p w14:paraId="4174D147" w14:textId="77777777" w:rsidR="0006116B" w:rsidRPr="00764FC3" w:rsidRDefault="0006116B" w:rsidP="00FF3BB3">
      <w:pPr>
        <w:jc w:val="both"/>
        <w:rPr>
          <w:lang w:val="sr-Latn-RS"/>
        </w:rPr>
        <w:sectPr w:rsidR="0006116B" w:rsidRPr="00764FC3" w:rsidSect="0069543C">
          <w:pgSz w:w="11906" w:h="16838"/>
          <w:pgMar w:top="1440" w:right="1440" w:bottom="1440" w:left="1440" w:header="708" w:footer="708" w:gutter="0"/>
          <w:cols w:space="708"/>
          <w:docGrid w:linePitch="360"/>
        </w:sectPr>
      </w:pPr>
    </w:p>
    <w:p w14:paraId="398D7652" w14:textId="6361C431" w:rsidR="0006116B" w:rsidRPr="00764FC3" w:rsidRDefault="005325A3"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godinu za grant za opštinski učinak - Opština Istok</w:t>
      </w:r>
    </w:p>
    <w:p w14:paraId="0BAADD9A" w14:textId="3D1CD9CA" w:rsidR="008060AE" w:rsidRDefault="0006116B" w:rsidP="008060AE">
      <w:pPr>
        <w:rPr>
          <w:b/>
          <w:lang w:val="sr-Latn-RS"/>
        </w:rPr>
      </w:pPr>
      <w:r w:rsidRPr="00764FC3">
        <w:rPr>
          <w:b/>
          <w:lang w:val="sr-Latn-RS"/>
        </w:rPr>
        <w:t xml:space="preserve">Procena minimalnih uslova za </w:t>
      </w:r>
      <w:r w:rsidR="00F41E1B">
        <w:rPr>
          <w:b/>
          <w:lang w:val="sr-Latn-RS"/>
        </w:rPr>
        <w:t>202</w:t>
      </w:r>
      <w:r w:rsidR="00803579">
        <w:rPr>
          <w:b/>
          <w:lang w:val="sr-Latn-RS"/>
        </w:rPr>
        <w:t>4</w:t>
      </w:r>
      <w:r w:rsidRPr="00764FC3">
        <w:rPr>
          <w:b/>
          <w:lang w:val="sr-Latn-RS"/>
        </w:rPr>
        <w:t>. godinu</w:t>
      </w:r>
    </w:p>
    <w:p w14:paraId="3F763BB9" w14:textId="35040183" w:rsidR="005524F9" w:rsidRPr="008060AE" w:rsidRDefault="008060AE" w:rsidP="008060AE">
      <w:pPr>
        <w:rPr>
          <w:b/>
          <w:lang w:val="sr-Latn-RS"/>
        </w:rPr>
      </w:pPr>
      <w:r>
        <w:rPr>
          <w:noProof/>
          <w:lang w:val="en-GB" w:eastAsia="en-GB"/>
          <w14:ligatures w14:val="standardContextual"/>
        </w:rPr>
        <w:drawing>
          <wp:anchor distT="0" distB="0" distL="114300" distR="114300" simplePos="0" relativeHeight="251830272" behindDoc="0" locked="0" layoutInCell="1" allowOverlap="1" wp14:anchorId="63F3112E" wp14:editId="5D581A08">
            <wp:simplePos x="0" y="0"/>
            <wp:positionH relativeFrom="column">
              <wp:posOffset>1790700</wp:posOffset>
            </wp:positionH>
            <wp:positionV relativeFrom="paragraph">
              <wp:posOffset>76200</wp:posOffset>
            </wp:positionV>
            <wp:extent cx="3841200" cy="2257200"/>
            <wp:effectExtent l="0" t="0" r="6985" b="10160"/>
            <wp:wrapSquare wrapText="bothSides"/>
            <wp:docPr id="43" name="Chart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r w:rsidR="0006116B" w:rsidRPr="00764FC3">
        <w:rPr>
          <w:rFonts w:cstheme="majorHAnsi"/>
          <w:lang w:val="sr-Latn-RS"/>
        </w:rPr>
        <w:t>Opština Istok se</w:t>
      </w:r>
      <w:r>
        <w:rPr>
          <w:rFonts w:cstheme="majorHAnsi"/>
          <w:lang w:val="sr-Latn-RS"/>
        </w:rPr>
        <w:t xml:space="preserve"> nije</w:t>
      </w:r>
      <w:r w:rsidR="0006116B" w:rsidRPr="00764FC3">
        <w:rPr>
          <w:rFonts w:cstheme="majorHAnsi"/>
          <w:lang w:val="sr-Latn-RS"/>
        </w:rPr>
        <w:t xml:space="preserve"> kvalifikovala </w:t>
      </w:r>
      <w:r w:rsidR="009705A3" w:rsidRPr="00764FC3">
        <w:rPr>
          <w:rFonts w:cstheme="majorHAnsi"/>
          <w:lang w:val="sr-Latn-RS"/>
        </w:rPr>
        <w:t>za grant za opštinski učinak za 202</w:t>
      </w:r>
      <w:r>
        <w:rPr>
          <w:rFonts w:cstheme="majorHAnsi"/>
          <w:lang w:val="sr-Latn-RS"/>
        </w:rPr>
        <w:t>6</w:t>
      </w:r>
      <w:r w:rsidR="009705A3" w:rsidRPr="00764FC3">
        <w:rPr>
          <w:rFonts w:cstheme="majorHAnsi"/>
          <w:lang w:val="sr-Latn-RS"/>
        </w:rPr>
        <w:t xml:space="preserve">. godinu, na osnovu učinka za </w:t>
      </w:r>
      <w:r w:rsidR="00F41E1B">
        <w:rPr>
          <w:rFonts w:cstheme="majorHAnsi"/>
          <w:lang w:val="sr-Latn-RS"/>
        </w:rPr>
        <w:t>2024</w:t>
      </w:r>
      <w:r w:rsidR="009705A3" w:rsidRPr="00764FC3">
        <w:rPr>
          <w:rFonts w:cstheme="majorHAnsi"/>
          <w:lang w:val="sr-Latn-RS"/>
        </w:rPr>
        <w:t>. godinu.</w:t>
      </w:r>
      <w:r w:rsidR="00742FBF" w:rsidRPr="00764FC3">
        <w:rPr>
          <w:rFonts w:cstheme="majorHAnsi"/>
          <w:noProof/>
          <w:lang w:val="en-US"/>
        </w:rPr>
        <w:t xml:space="preserve"> </w:t>
      </w:r>
    </w:p>
    <w:p w14:paraId="7D79BF24" w14:textId="2B0F93E6" w:rsidR="008060AE" w:rsidRPr="00764FC3" w:rsidRDefault="008060AE" w:rsidP="008060AE">
      <w:pPr>
        <w:jc w:val="both"/>
        <w:rPr>
          <w:rFonts w:cstheme="majorHAnsi"/>
          <w:lang w:val="sr-Latn-RS"/>
        </w:rPr>
      </w:pPr>
      <w:r>
        <w:rPr>
          <w:rFonts w:cstheme="majorHAnsi"/>
        </w:rPr>
        <w:t xml:space="preserve">Minimalni uslov </w:t>
      </w:r>
      <w:r w:rsidRPr="00764FC3">
        <w:rPr>
          <w:rFonts w:cstheme="majorHAnsi"/>
        </w:rPr>
        <w:t>broj 3 (revizorsko mišljenje mora biti najmanje nemodifikovano sa akcentom na to pitanje)</w:t>
      </w:r>
      <w:r>
        <w:rPr>
          <w:rFonts w:cstheme="majorHAnsi"/>
        </w:rPr>
        <w:t>, nije ispunjen.</w:t>
      </w:r>
    </w:p>
    <w:p w14:paraId="2DA018B3" w14:textId="791D1A03" w:rsidR="00742FBF" w:rsidRPr="008060AE" w:rsidRDefault="00742FBF" w:rsidP="008060AE">
      <w:pPr>
        <w:jc w:val="both"/>
        <w:rPr>
          <w:rFonts w:cstheme="majorHAnsi"/>
          <w:lang w:val="sr-Latn-RS"/>
        </w:rPr>
      </w:pPr>
    </w:p>
    <w:p w14:paraId="20320A0F" w14:textId="77777777" w:rsidR="00742FBF" w:rsidRPr="00764FC3" w:rsidRDefault="00742FBF" w:rsidP="00FF3BB3">
      <w:pPr>
        <w:rPr>
          <w:lang w:val="sr-Latn-RS"/>
        </w:rPr>
      </w:pPr>
    </w:p>
    <w:p w14:paraId="567B222B" w14:textId="77777777" w:rsidR="00742FBF" w:rsidRPr="00764FC3" w:rsidRDefault="00742FBF" w:rsidP="00FF3BB3">
      <w:pPr>
        <w:rPr>
          <w:lang w:val="sr-Latn-RS"/>
        </w:rPr>
      </w:pPr>
    </w:p>
    <w:p w14:paraId="19C8FAD4" w14:textId="58DA65EA" w:rsidR="0006116B" w:rsidRPr="00764FC3" w:rsidRDefault="00CC1070"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4E4B695C" w14:textId="490B5EF4" w:rsidR="0006116B" w:rsidRPr="00764FC3" w:rsidRDefault="008060AE" w:rsidP="00FF3BB3">
      <w:pPr>
        <w:jc w:val="both"/>
        <w:rPr>
          <w:rFonts w:cstheme="majorHAnsi"/>
          <w:lang w:val="sr-Latn-RS"/>
        </w:rPr>
      </w:pPr>
      <w:r>
        <w:rPr>
          <w:noProof/>
          <w:lang w:val="en-GB" w:eastAsia="en-GB"/>
          <w14:ligatures w14:val="standardContextual"/>
        </w:rPr>
        <w:drawing>
          <wp:anchor distT="0" distB="0" distL="114300" distR="114300" simplePos="0" relativeHeight="251831296" behindDoc="0" locked="0" layoutInCell="1" allowOverlap="1" wp14:anchorId="434BCF13" wp14:editId="1EA5780B">
            <wp:simplePos x="0" y="0"/>
            <wp:positionH relativeFrom="column">
              <wp:posOffset>1791335</wp:posOffset>
            </wp:positionH>
            <wp:positionV relativeFrom="paragraph">
              <wp:posOffset>233680</wp:posOffset>
            </wp:positionV>
            <wp:extent cx="3840480" cy="2743200"/>
            <wp:effectExtent l="0" t="0" r="7620" b="0"/>
            <wp:wrapSquare wrapText="bothSides"/>
            <wp:docPr id="44" name="Chart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r w:rsidR="00CC1070" w:rsidRPr="00764FC3">
        <w:rPr>
          <w:rFonts w:cstheme="majorHAnsi"/>
          <w:lang w:val="sr-Latn-RS"/>
        </w:rPr>
        <w:t xml:space="preserve">Prosečan </w:t>
      </w:r>
      <w:r w:rsidR="0006116B" w:rsidRPr="00764FC3">
        <w:rPr>
          <w:rFonts w:cstheme="majorHAnsi"/>
          <w:lang w:val="sr-Latn-RS"/>
        </w:rPr>
        <w:t xml:space="preserve">učinak </w:t>
      </w:r>
      <w:r w:rsidR="00C11405" w:rsidRPr="00764FC3">
        <w:rPr>
          <w:rFonts w:cstheme="majorHAnsi"/>
          <w:lang w:val="sr-Latn-RS"/>
        </w:rPr>
        <w:t xml:space="preserve">Opštine </w:t>
      </w:r>
      <w:r w:rsidR="0006116B" w:rsidRPr="00764FC3">
        <w:rPr>
          <w:rFonts w:cstheme="majorHAnsi"/>
          <w:lang w:val="sr-Latn-RS"/>
        </w:rPr>
        <w:t xml:space="preserve">Istok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 xml:space="preserve">procenjenih </w:t>
      </w:r>
      <w:r w:rsidR="005A35F3" w:rsidRPr="00764FC3">
        <w:rPr>
          <w:rFonts w:cstheme="majorHAnsi"/>
          <w:lang w:val="sr-Latn-RS"/>
        </w:rPr>
        <w:t>pokazatelj</w:t>
      </w:r>
      <w:r w:rsidR="0006116B" w:rsidRPr="00764FC3">
        <w:rPr>
          <w:rFonts w:cstheme="majorHAnsi"/>
          <w:lang w:val="sr-Latn-RS"/>
        </w:rPr>
        <w:t xml:space="preserve">a je </w:t>
      </w:r>
      <w:r>
        <w:rPr>
          <w:rFonts w:cstheme="majorHAnsi"/>
          <w:lang w:val="sr-Latn-RS"/>
        </w:rPr>
        <w:t>68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69.39</w:t>
      </w:r>
      <w:r w:rsidR="0006116B" w:rsidRPr="00764FC3">
        <w:rPr>
          <w:rFonts w:cstheme="majorHAnsi"/>
          <w:lang w:val="sr-Latn-RS"/>
        </w:rPr>
        <w:t>%).</w:t>
      </w:r>
      <w:r w:rsidR="0006116B" w:rsidRPr="00764FC3">
        <w:rPr>
          <w:noProof/>
          <w:lang w:val="sr-Latn-RS"/>
        </w:rPr>
        <w:t xml:space="preserve"> </w:t>
      </w:r>
    </w:p>
    <w:p w14:paraId="3E15E02A" w14:textId="7EDB6B9B"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učinak u 1</w:t>
      </w:r>
      <w:r w:rsidR="008060AE">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sidR="008060AE">
        <w:rPr>
          <w:rFonts w:cstheme="majorHAnsi"/>
          <w:lang w:val="sr-Latn-RS"/>
        </w:rPr>
        <w:t>35</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8060AE">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8060AE">
        <w:rPr>
          <w:rFonts w:cstheme="majorHAnsi"/>
          <w:lang w:val="sr-Latn-RS"/>
        </w:rPr>
        <w:t>87.50</w:t>
      </w:r>
      <w:r w:rsidR="0006116B" w:rsidRPr="00764FC3">
        <w:rPr>
          <w:rFonts w:cstheme="majorHAnsi"/>
          <w:lang w:val="sr-Latn-RS"/>
        </w:rPr>
        <w:t>%).</w:t>
      </w:r>
    </w:p>
    <w:p w14:paraId="68457AC1" w14:textId="34E89052"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8060AE">
        <w:rPr>
          <w:rFonts w:cstheme="majorHAnsi"/>
          <w:lang w:val="sr-Latn-RS"/>
        </w:rPr>
        <w:t>15</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2</w:t>
      </w:r>
      <w:r w:rsidR="008060AE">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8060AE">
        <w:rPr>
          <w:rFonts w:cstheme="majorHAnsi"/>
          <w:lang w:val="sr-Latn-RS"/>
        </w:rPr>
        <w:t>53.57</w:t>
      </w:r>
      <w:r w:rsidR="0006116B" w:rsidRPr="00764FC3">
        <w:rPr>
          <w:rFonts w:cstheme="majorHAnsi"/>
          <w:lang w:val="sr-Latn-RS"/>
        </w:rPr>
        <w:t>%).</w:t>
      </w:r>
    </w:p>
    <w:p w14:paraId="4C83339A" w14:textId="39DA9A47"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w:t>
      </w:r>
      <w:r w:rsidR="008060AE">
        <w:rPr>
          <w:rFonts w:cstheme="majorHAnsi"/>
          <w:lang w:val="sr-Latn-RS"/>
        </w:rPr>
        <w:t xml:space="preserve">9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„Pružanje usluga“ je </w:t>
      </w:r>
      <w:r w:rsidR="008060AE">
        <w:rPr>
          <w:rFonts w:cstheme="majorHAnsi"/>
          <w:lang w:val="sr-Latn-RS"/>
        </w:rPr>
        <w:t>18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8060AE">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8060AE">
        <w:rPr>
          <w:rFonts w:cstheme="majorHAnsi"/>
          <w:lang w:val="sr-Latn-RS"/>
        </w:rPr>
        <w:t>60.00</w:t>
      </w:r>
      <w:r w:rsidR="0006116B" w:rsidRPr="00764FC3">
        <w:rPr>
          <w:rFonts w:cstheme="majorHAnsi"/>
          <w:lang w:val="sr-Latn-RS"/>
        </w:rPr>
        <w:t>%).</w:t>
      </w:r>
    </w:p>
    <w:p w14:paraId="605F6D97" w14:textId="77777777" w:rsidR="0006116B" w:rsidRPr="00764FC3" w:rsidRDefault="0006116B" w:rsidP="00FF3BB3">
      <w:pPr>
        <w:jc w:val="both"/>
        <w:rPr>
          <w:lang w:val="sr-Latn-RS"/>
        </w:rPr>
        <w:sectPr w:rsidR="0006116B" w:rsidRPr="00764FC3" w:rsidSect="0069543C">
          <w:pgSz w:w="11906" w:h="16838"/>
          <w:pgMar w:top="1440" w:right="1440" w:bottom="1440" w:left="1440" w:header="708" w:footer="708" w:gutter="0"/>
          <w:cols w:space="708"/>
          <w:docGrid w:linePitch="360"/>
        </w:sectPr>
      </w:pPr>
    </w:p>
    <w:p w14:paraId="47FC211B" w14:textId="13E5DEA3" w:rsidR="0006116B" w:rsidRPr="00764FC3" w:rsidRDefault="005325A3" w:rsidP="00FF3BB3">
      <w:pPr>
        <w:rPr>
          <w:rFonts w:eastAsiaTheme="majorEastAsia" w:cs="Calibri Light"/>
          <w:b/>
          <w:noProof/>
          <w:lang w:val="sr-Latn-RS"/>
        </w:rPr>
      </w:pPr>
      <w:r w:rsidRPr="00764FC3">
        <w:rPr>
          <w:rFonts w:eastAsiaTheme="majorEastAsia" w:cs="Calibri Light"/>
          <w:b/>
          <w:noProof/>
          <w:lang w:val="sr-Latn-RS"/>
        </w:rPr>
        <w:lastRenderedPageBreak/>
        <w:t xml:space="preserve">Pregled </w:t>
      </w:r>
      <w:r w:rsidR="0006116B" w:rsidRPr="00764FC3">
        <w:rPr>
          <w:rFonts w:eastAsiaTheme="majorEastAsia" w:cs="Calibri Light"/>
          <w:b/>
          <w:noProof/>
          <w:lang w:val="sr-Latn-RS"/>
        </w:rPr>
        <w:t xml:space="preserve">rezultata za </w:t>
      </w:r>
      <w:r w:rsidR="00F41E1B">
        <w:rPr>
          <w:rFonts w:eastAsiaTheme="majorEastAsia" w:cs="Calibri Light"/>
          <w:b/>
          <w:noProof/>
          <w:lang w:val="sr-Latn-RS"/>
        </w:rPr>
        <w:t>2024</w:t>
      </w:r>
      <w:r w:rsidR="0006116B" w:rsidRPr="00764FC3">
        <w:rPr>
          <w:rFonts w:eastAsiaTheme="majorEastAsia" w:cs="Calibri Light"/>
          <w:b/>
          <w:noProof/>
          <w:lang w:val="sr-Latn-RS"/>
        </w:rPr>
        <w:t xml:space="preserve">. godinu za grant za opštinski učinak - </w:t>
      </w:r>
      <w:r w:rsidR="00C11405" w:rsidRPr="00764FC3">
        <w:rPr>
          <w:rFonts w:eastAsiaTheme="majorEastAsia" w:cs="Calibri Light"/>
          <w:b/>
          <w:noProof/>
          <w:lang w:val="sr-Latn-RS"/>
        </w:rPr>
        <w:t xml:space="preserve">Opština </w:t>
      </w:r>
      <w:r w:rsidR="0006116B" w:rsidRPr="00764FC3">
        <w:rPr>
          <w:rFonts w:eastAsiaTheme="majorEastAsia" w:cs="Calibri Light"/>
          <w:b/>
          <w:noProof/>
          <w:lang w:val="sr-Latn-RS"/>
        </w:rPr>
        <w:t>Junik</w:t>
      </w:r>
    </w:p>
    <w:p w14:paraId="2E8EEE30" w14:textId="6CE6C24F" w:rsidR="0006116B" w:rsidRPr="00764FC3" w:rsidRDefault="008060AE" w:rsidP="00FF3BB3">
      <w:pPr>
        <w:rPr>
          <w:b/>
          <w:lang w:val="sr-Latn-RS"/>
        </w:rPr>
      </w:pPr>
      <w:r>
        <w:rPr>
          <w:noProof/>
          <w:lang w:val="en-GB" w:eastAsia="en-GB"/>
          <w14:ligatures w14:val="standardContextual"/>
        </w:rPr>
        <w:drawing>
          <wp:anchor distT="0" distB="0" distL="114300" distR="114300" simplePos="0" relativeHeight="251832320" behindDoc="0" locked="0" layoutInCell="1" allowOverlap="1" wp14:anchorId="701D974F" wp14:editId="17EB7CA6">
            <wp:simplePos x="0" y="0"/>
            <wp:positionH relativeFrom="column">
              <wp:posOffset>2000250</wp:posOffset>
            </wp:positionH>
            <wp:positionV relativeFrom="paragraph">
              <wp:posOffset>285750</wp:posOffset>
            </wp:positionV>
            <wp:extent cx="3840480" cy="2257200"/>
            <wp:effectExtent l="0" t="0" r="7620" b="10160"/>
            <wp:wrapSquare wrapText="bothSides"/>
            <wp:docPr id="45" name="Chart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V relativeFrom="margin">
              <wp14:pctHeight>0</wp14:pctHeight>
            </wp14:sizeRelV>
          </wp:anchor>
        </w:drawing>
      </w:r>
      <w:r w:rsidR="0006116B" w:rsidRPr="00764FC3">
        <w:rPr>
          <w:b/>
          <w:lang w:val="sr-Latn-RS"/>
        </w:rPr>
        <w:t xml:space="preserve">Procena minimalnih uslova za </w:t>
      </w:r>
      <w:r w:rsidR="00F41E1B">
        <w:rPr>
          <w:b/>
          <w:lang w:val="sr-Latn-RS"/>
        </w:rPr>
        <w:t>202</w:t>
      </w:r>
      <w:r w:rsidR="00803579">
        <w:rPr>
          <w:b/>
          <w:lang w:val="sr-Latn-RS"/>
        </w:rPr>
        <w:t>4</w:t>
      </w:r>
      <w:r w:rsidR="0006116B" w:rsidRPr="00764FC3">
        <w:rPr>
          <w:b/>
          <w:lang w:val="sr-Latn-RS"/>
        </w:rPr>
        <w:t>. godinu</w:t>
      </w:r>
    </w:p>
    <w:p w14:paraId="0F8EC260" w14:textId="1823A477" w:rsidR="0006116B" w:rsidRPr="00764FC3" w:rsidRDefault="0006116B" w:rsidP="00FF3BB3">
      <w:pPr>
        <w:jc w:val="both"/>
        <w:rPr>
          <w:rFonts w:cstheme="majorHAnsi"/>
          <w:lang w:val="sr-Latn-RS"/>
        </w:rPr>
      </w:pPr>
      <w:r w:rsidRPr="00764FC3">
        <w:rPr>
          <w:rFonts w:cstheme="majorHAnsi"/>
          <w:lang w:val="sr-Latn-RS"/>
        </w:rPr>
        <w:t xml:space="preserve">Opština Junik </w:t>
      </w:r>
      <w:r w:rsidR="008060AE">
        <w:rPr>
          <w:rFonts w:cstheme="majorHAnsi"/>
          <w:lang w:val="sr-Latn-RS"/>
        </w:rPr>
        <w:t xml:space="preserve">nije </w:t>
      </w:r>
      <w:r w:rsidRPr="00764FC3">
        <w:rPr>
          <w:rFonts w:cstheme="majorHAnsi"/>
          <w:lang w:val="sr-Latn-RS"/>
        </w:rPr>
        <w:t xml:space="preserve">se kvalifikovala </w:t>
      </w:r>
      <w:r w:rsidR="005524F9" w:rsidRPr="00764FC3">
        <w:rPr>
          <w:rFonts w:cstheme="majorHAnsi"/>
          <w:lang w:val="sr-Latn-RS"/>
        </w:rPr>
        <w:t>za grant za opštinski učinak za 202</w:t>
      </w:r>
      <w:r w:rsidR="008060AE">
        <w:rPr>
          <w:rFonts w:cstheme="majorHAnsi"/>
          <w:lang w:val="sr-Latn-RS"/>
        </w:rPr>
        <w:t>6</w:t>
      </w:r>
      <w:r w:rsidR="005524F9" w:rsidRPr="00764FC3">
        <w:rPr>
          <w:rFonts w:cstheme="majorHAnsi"/>
          <w:lang w:val="sr-Latn-RS"/>
        </w:rPr>
        <w:t xml:space="preserve">. godinu, na osnovu učinka za </w:t>
      </w:r>
      <w:r w:rsidR="00F41E1B">
        <w:rPr>
          <w:rFonts w:cstheme="majorHAnsi"/>
          <w:lang w:val="sr-Latn-RS"/>
        </w:rPr>
        <w:t>2024</w:t>
      </w:r>
      <w:r w:rsidR="005524F9" w:rsidRPr="00764FC3">
        <w:rPr>
          <w:rFonts w:cstheme="majorHAnsi"/>
          <w:lang w:val="sr-Latn-RS"/>
        </w:rPr>
        <w:t>. godinu.</w:t>
      </w:r>
      <w:r w:rsidR="009141B8" w:rsidRPr="00764FC3">
        <w:rPr>
          <w:rFonts w:cstheme="majorHAnsi"/>
          <w:noProof/>
          <w:lang w:val="en-US"/>
        </w:rPr>
        <w:t xml:space="preserve"> </w:t>
      </w:r>
      <w:bookmarkStart w:id="42" w:name="_Hlk114223342"/>
    </w:p>
    <w:p w14:paraId="72C39811" w14:textId="71D3E201" w:rsidR="0006116B" w:rsidRPr="00764FC3" w:rsidRDefault="008060AE" w:rsidP="00FF3BB3">
      <w:pPr>
        <w:jc w:val="both"/>
        <w:rPr>
          <w:rFonts w:cstheme="majorHAnsi"/>
          <w:lang w:val="sr-Latn-RS"/>
        </w:rPr>
      </w:pPr>
      <w:r>
        <w:rPr>
          <w:rFonts w:cstheme="majorHAnsi"/>
          <w:lang w:val="sr-Latn-RS"/>
        </w:rPr>
        <w:t xml:space="preserve">Minimalni uslovi </w:t>
      </w:r>
      <w:r w:rsidR="00043B22" w:rsidRPr="00764FC3">
        <w:rPr>
          <w:rFonts w:cstheme="majorHAnsi"/>
        </w:rPr>
        <w:t>broj 3 (revizorsko mišljenje mora biti najmanje nemodifikovano sa akcentom na to pitanje)</w:t>
      </w:r>
      <w:r w:rsidR="00043B22">
        <w:rPr>
          <w:rFonts w:cstheme="majorHAnsi"/>
        </w:rPr>
        <w:t xml:space="preserve"> i </w:t>
      </w:r>
      <w:r w:rsidR="00043B22" w:rsidRPr="00764FC3">
        <w:rPr>
          <w:rFonts w:cstheme="majorHAnsi"/>
          <w:lang w:val="sr-Latn-RS"/>
        </w:rPr>
        <w:t xml:space="preserve">broj 4 (stopa rashoda budžeta za kapitalne investicije za </w:t>
      </w:r>
      <w:r w:rsidR="00043B22">
        <w:rPr>
          <w:rFonts w:cstheme="majorHAnsi"/>
          <w:lang w:val="sr-Latn-RS"/>
        </w:rPr>
        <w:t>2024</w:t>
      </w:r>
      <w:r w:rsidR="00043B22" w:rsidRPr="00764FC3">
        <w:rPr>
          <w:rFonts w:cstheme="majorHAnsi"/>
          <w:lang w:val="sr-Latn-RS"/>
        </w:rPr>
        <w:t>. godinu treba da bude najmanje 75%)</w:t>
      </w:r>
      <w:r w:rsidR="00043B22">
        <w:rPr>
          <w:rFonts w:cstheme="majorHAnsi"/>
          <w:lang w:val="sr-Latn-RS"/>
        </w:rPr>
        <w:t xml:space="preserve"> nisu ispunjeni</w:t>
      </w:r>
      <w:r w:rsidR="0006116B" w:rsidRPr="00764FC3">
        <w:rPr>
          <w:rFonts w:cstheme="majorHAnsi"/>
          <w:lang w:val="sr-Latn-RS"/>
        </w:rPr>
        <w:t>.</w:t>
      </w:r>
    </w:p>
    <w:bookmarkEnd w:id="42"/>
    <w:p w14:paraId="5607EBE4" w14:textId="77777777" w:rsidR="0006116B" w:rsidRPr="00764FC3" w:rsidRDefault="0006116B" w:rsidP="00FF3BB3">
      <w:pPr>
        <w:rPr>
          <w:lang w:val="sr-Latn-RS"/>
        </w:rPr>
      </w:pPr>
    </w:p>
    <w:p w14:paraId="08F16851" w14:textId="754F8F54" w:rsidR="0006116B" w:rsidRPr="00764FC3" w:rsidRDefault="00CC1070" w:rsidP="00FF3BB3">
      <w:pPr>
        <w:rPr>
          <w:b/>
          <w:lang w:val="sr-Latn-RS"/>
        </w:rPr>
      </w:pPr>
      <w:r w:rsidRPr="00764FC3">
        <w:rPr>
          <w:b/>
          <w:lang w:val="sr-Latn-RS"/>
        </w:rPr>
        <w:t xml:space="preserve">Procena </w:t>
      </w:r>
      <w:r w:rsidR="0006116B" w:rsidRPr="00764FC3">
        <w:rPr>
          <w:b/>
          <w:lang w:val="sr-Latn-RS"/>
        </w:rPr>
        <w:t xml:space="preserve">pokazatelja učinka za </w:t>
      </w:r>
      <w:r w:rsidR="00F41E1B">
        <w:rPr>
          <w:b/>
          <w:lang w:val="sr-Latn-RS"/>
        </w:rPr>
        <w:t>2024</w:t>
      </w:r>
      <w:r w:rsidR="0006116B" w:rsidRPr="00764FC3">
        <w:rPr>
          <w:b/>
          <w:lang w:val="sr-Latn-RS"/>
        </w:rPr>
        <w:t>. godinu</w:t>
      </w:r>
    </w:p>
    <w:p w14:paraId="303BA0C7" w14:textId="6D75E7E4" w:rsidR="0006116B" w:rsidRPr="00764FC3" w:rsidRDefault="00043B22" w:rsidP="00FF3BB3">
      <w:pPr>
        <w:jc w:val="both"/>
        <w:rPr>
          <w:rFonts w:cstheme="majorHAnsi"/>
          <w:lang w:val="sr-Latn-RS"/>
        </w:rPr>
      </w:pPr>
      <w:r>
        <w:rPr>
          <w:noProof/>
          <w:lang w:val="en-GB" w:eastAsia="en-GB"/>
          <w14:ligatures w14:val="standardContextual"/>
        </w:rPr>
        <w:drawing>
          <wp:anchor distT="0" distB="0" distL="114300" distR="114300" simplePos="0" relativeHeight="251833344" behindDoc="0" locked="0" layoutInCell="1" allowOverlap="1" wp14:anchorId="2342A7FD" wp14:editId="4BC39C52">
            <wp:simplePos x="0" y="0"/>
            <wp:positionH relativeFrom="column">
              <wp:posOffset>1905000</wp:posOffset>
            </wp:positionH>
            <wp:positionV relativeFrom="paragraph">
              <wp:posOffset>246380</wp:posOffset>
            </wp:positionV>
            <wp:extent cx="3840480" cy="2743200"/>
            <wp:effectExtent l="0" t="0" r="7620" b="0"/>
            <wp:wrapSquare wrapText="bothSides"/>
            <wp:docPr id="46" name="Chart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anchor>
        </w:drawing>
      </w:r>
      <w:r w:rsidR="00CC1070" w:rsidRPr="00764FC3">
        <w:rPr>
          <w:rFonts w:cstheme="majorHAnsi"/>
          <w:lang w:val="sr-Latn-RS"/>
        </w:rPr>
        <w:t xml:space="preserve">Prosečan </w:t>
      </w:r>
      <w:r w:rsidR="0006116B" w:rsidRPr="00764FC3">
        <w:rPr>
          <w:rFonts w:cstheme="majorHAnsi"/>
          <w:lang w:val="sr-Latn-RS"/>
        </w:rPr>
        <w:t xml:space="preserve">učinak </w:t>
      </w:r>
      <w:r w:rsidR="005325A3" w:rsidRPr="00764FC3">
        <w:rPr>
          <w:rFonts w:cstheme="majorHAnsi"/>
          <w:lang w:val="sr-Latn-RS"/>
        </w:rPr>
        <w:t>o</w:t>
      </w:r>
      <w:r w:rsidR="0006116B" w:rsidRPr="00764FC3">
        <w:rPr>
          <w:rFonts w:cstheme="majorHAnsi"/>
          <w:lang w:val="sr-Latn-RS"/>
        </w:rPr>
        <w:t xml:space="preserve">pštine u </w:t>
      </w:r>
      <w:r>
        <w:rPr>
          <w:rFonts w:cstheme="majorHAnsi"/>
          <w:lang w:val="sr-Latn-RS"/>
        </w:rPr>
        <w:t>29</w:t>
      </w:r>
      <w:r w:rsidR="0006116B" w:rsidRPr="00764FC3">
        <w:rPr>
          <w:rFonts w:cstheme="majorHAnsi"/>
          <w:lang w:val="sr-Latn-RS"/>
        </w:rPr>
        <w:t xml:space="preserve"> </w:t>
      </w:r>
      <w:r w:rsidR="007033C5" w:rsidRPr="00764FC3">
        <w:rPr>
          <w:rFonts w:cstheme="majorHAnsi"/>
          <w:lang w:val="sr-Latn-RS"/>
        </w:rPr>
        <w:t xml:space="preserve">procenjenih </w:t>
      </w:r>
      <w:r w:rsidR="0006116B" w:rsidRPr="00764FC3">
        <w:rPr>
          <w:rFonts w:cstheme="majorHAnsi"/>
          <w:lang w:val="sr-Latn-RS"/>
        </w:rPr>
        <w:t xml:space="preserve">pokazatelja je </w:t>
      </w:r>
      <w:r>
        <w:rPr>
          <w:rFonts w:cstheme="majorHAnsi"/>
          <w:lang w:val="sr-Latn-RS"/>
        </w:rPr>
        <w:t>52</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9</w:t>
      </w:r>
      <w:r>
        <w:rPr>
          <w:rFonts w:cstheme="majorHAnsi"/>
          <w:lang w:val="sr-Latn-RS"/>
        </w:rPr>
        <w:t>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Pr>
          <w:rFonts w:cstheme="majorHAnsi"/>
          <w:lang w:val="sr-Latn-RS"/>
        </w:rPr>
        <w:t>53.06</w:t>
      </w:r>
      <w:r w:rsidR="0006116B" w:rsidRPr="00764FC3">
        <w:rPr>
          <w:rFonts w:cstheme="majorHAnsi"/>
          <w:lang w:val="sr-Latn-RS"/>
        </w:rPr>
        <w:t>%).</w:t>
      </w:r>
      <w:r w:rsidR="0006116B" w:rsidRPr="00764FC3">
        <w:rPr>
          <w:noProof/>
          <w:lang w:val="sr-Latn-RS"/>
        </w:rPr>
        <w:t xml:space="preserve"> </w:t>
      </w:r>
    </w:p>
    <w:p w14:paraId="7A93B25A" w14:textId="11B3B491"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učinak u 1</w:t>
      </w:r>
      <w:r w:rsidR="00043B22">
        <w:rPr>
          <w:rFonts w:cstheme="majorHAnsi"/>
          <w:lang w:val="sr-Latn-RS"/>
        </w:rPr>
        <w:t>3</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„Demokratsko upravljanje“ iznosi </w:t>
      </w:r>
      <w:r w:rsidR="00043B22">
        <w:rPr>
          <w:rFonts w:cstheme="majorHAnsi"/>
          <w:lang w:val="sr-Latn-RS"/>
        </w:rPr>
        <w:t>28</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043B22">
        <w:rPr>
          <w:rFonts w:cstheme="majorHAnsi"/>
          <w:lang w:val="sr-Latn-RS"/>
        </w:rPr>
        <w:t>40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043B22">
        <w:rPr>
          <w:rFonts w:cstheme="majorHAnsi"/>
          <w:lang w:val="sr-Latn-RS"/>
        </w:rPr>
        <w:t>70.00</w:t>
      </w:r>
      <w:r w:rsidR="0006116B" w:rsidRPr="00764FC3">
        <w:rPr>
          <w:rFonts w:cstheme="majorHAnsi"/>
          <w:lang w:val="sr-Latn-RS"/>
        </w:rPr>
        <w:t>%).</w:t>
      </w:r>
    </w:p>
    <w:p w14:paraId="0F2E3284" w14:textId="4AC8AB3B"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7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„Opštinsko upravljanje“ je </w:t>
      </w:r>
      <w:r w:rsidR="00043B22">
        <w:rPr>
          <w:rFonts w:cstheme="majorHAnsi"/>
          <w:lang w:val="sr-Latn-RS"/>
        </w:rPr>
        <w:t>10</w:t>
      </w:r>
      <w:r w:rsidR="0006116B" w:rsidRPr="00764FC3">
        <w:rPr>
          <w:rFonts w:cstheme="majorHAnsi"/>
          <w:lang w:val="sr-Latn-RS"/>
        </w:rPr>
        <w:t xml:space="preserve"> </w:t>
      </w:r>
      <w:r w:rsidR="005A35F3" w:rsidRPr="00764FC3">
        <w:rPr>
          <w:rFonts w:cstheme="majorHAnsi"/>
          <w:lang w:val="sr-Latn-RS"/>
        </w:rPr>
        <w:t>bodova</w:t>
      </w:r>
      <w:r w:rsidR="0006116B" w:rsidRPr="00764FC3">
        <w:rPr>
          <w:rFonts w:cstheme="majorHAnsi"/>
          <w:lang w:val="sr-Latn-RS"/>
        </w:rPr>
        <w:t xml:space="preserve"> od ukupno </w:t>
      </w:r>
      <w:r w:rsidR="00043B22">
        <w:rPr>
          <w:rFonts w:cstheme="majorHAnsi"/>
          <w:lang w:val="sr-Latn-RS"/>
        </w:rPr>
        <w:t>28</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043B22">
        <w:rPr>
          <w:rFonts w:cstheme="majorHAnsi"/>
          <w:lang w:val="sr-Latn-RS"/>
        </w:rPr>
        <w:t>35.71</w:t>
      </w:r>
      <w:r w:rsidR="0006116B" w:rsidRPr="00764FC3">
        <w:rPr>
          <w:rFonts w:cstheme="majorHAnsi"/>
          <w:lang w:val="sr-Latn-RS"/>
        </w:rPr>
        <w:t>%).</w:t>
      </w:r>
    </w:p>
    <w:p w14:paraId="7A54A354" w14:textId="2034D380" w:rsidR="0006116B" w:rsidRPr="00764FC3" w:rsidRDefault="00CC1070" w:rsidP="00FF3BB3">
      <w:pPr>
        <w:jc w:val="both"/>
        <w:rPr>
          <w:rFonts w:cstheme="majorHAnsi"/>
          <w:lang w:val="sr-Latn-RS"/>
        </w:rPr>
      </w:pPr>
      <w:r w:rsidRPr="00764FC3">
        <w:rPr>
          <w:rFonts w:cstheme="majorHAnsi"/>
          <w:lang w:val="sr-Latn-RS"/>
        </w:rPr>
        <w:t xml:space="preserve">Prosečan </w:t>
      </w:r>
      <w:r w:rsidR="0006116B" w:rsidRPr="00764FC3">
        <w:rPr>
          <w:rFonts w:cstheme="majorHAnsi"/>
          <w:lang w:val="sr-Latn-RS"/>
        </w:rPr>
        <w:t xml:space="preserve">učinak u </w:t>
      </w:r>
      <w:r w:rsidR="00043B22">
        <w:rPr>
          <w:rFonts w:cstheme="majorHAnsi"/>
          <w:lang w:val="sr-Latn-RS"/>
        </w:rPr>
        <w:t>9</w:t>
      </w:r>
      <w:r w:rsidR="0006116B" w:rsidRPr="00764FC3">
        <w:rPr>
          <w:rFonts w:cstheme="majorHAnsi"/>
          <w:lang w:val="sr-Latn-RS"/>
        </w:rPr>
        <w:t xml:space="preserve"> </w:t>
      </w:r>
      <w:r w:rsidR="005A35F3" w:rsidRPr="00764FC3">
        <w:rPr>
          <w:rFonts w:cstheme="majorHAnsi"/>
          <w:lang w:val="sr-Latn-RS"/>
        </w:rPr>
        <w:t>pokazatelj</w:t>
      </w:r>
      <w:r w:rsidR="0006116B" w:rsidRPr="00764FC3">
        <w:rPr>
          <w:rFonts w:cstheme="majorHAnsi"/>
          <w:lang w:val="sr-Latn-RS"/>
        </w:rPr>
        <w:t xml:space="preserve">a </w:t>
      </w:r>
      <w:r w:rsidR="007033C5" w:rsidRPr="00764FC3">
        <w:rPr>
          <w:rFonts w:cstheme="majorHAnsi"/>
          <w:lang w:val="sr-Latn-RS"/>
        </w:rPr>
        <w:t xml:space="preserve">procenjenih </w:t>
      </w:r>
      <w:r w:rsidR="0006116B" w:rsidRPr="00764FC3">
        <w:rPr>
          <w:rFonts w:cstheme="majorHAnsi"/>
          <w:lang w:val="sr-Latn-RS"/>
        </w:rPr>
        <w:t xml:space="preserve">u okviru oblasti „Pružanje usluga“ je </w:t>
      </w:r>
      <w:r w:rsidR="00043B22">
        <w:rPr>
          <w:rFonts w:cstheme="majorHAnsi"/>
          <w:lang w:val="sr-Latn-RS"/>
        </w:rPr>
        <w:t>14</w:t>
      </w:r>
      <w:r w:rsidR="0006116B" w:rsidRPr="00764FC3">
        <w:rPr>
          <w:rFonts w:cstheme="majorHAnsi"/>
          <w:lang w:val="sr-Latn-RS"/>
        </w:rPr>
        <w:t xml:space="preserve"> poen od ukupno </w:t>
      </w:r>
      <w:r w:rsidR="00043B22">
        <w:rPr>
          <w:rFonts w:cstheme="majorHAnsi"/>
          <w:lang w:val="sr-Latn-RS"/>
        </w:rPr>
        <w:t>30</w:t>
      </w:r>
      <w:r w:rsidR="0006116B" w:rsidRPr="00764FC3">
        <w:rPr>
          <w:rFonts w:cstheme="majorHAnsi"/>
          <w:lang w:val="sr-Latn-RS"/>
        </w:rPr>
        <w:t xml:space="preserve"> mogućih </w:t>
      </w:r>
      <w:r w:rsidR="005A35F3" w:rsidRPr="00764FC3">
        <w:rPr>
          <w:rFonts w:cstheme="majorHAnsi"/>
          <w:lang w:val="sr-Latn-RS"/>
        </w:rPr>
        <w:t>bodova</w:t>
      </w:r>
      <w:r w:rsidR="0006116B" w:rsidRPr="00764FC3">
        <w:rPr>
          <w:rFonts w:cstheme="majorHAnsi"/>
          <w:lang w:val="sr-Latn-RS"/>
        </w:rPr>
        <w:t xml:space="preserve"> (</w:t>
      </w:r>
      <w:r w:rsidR="00043B22">
        <w:rPr>
          <w:rFonts w:cstheme="majorHAnsi"/>
          <w:lang w:val="sr-Latn-RS"/>
        </w:rPr>
        <w:t>46.67</w:t>
      </w:r>
      <w:r w:rsidR="0006116B" w:rsidRPr="00764FC3">
        <w:rPr>
          <w:rFonts w:cstheme="majorHAnsi"/>
          <w:lang w:val="sr-Latn-RS"/>
        </w:rPr>
        <w:t>%).</w:t>
      </w:r>
    </w:p>
    <w:p w14:paraId="1C0AC242" w14:textId="77777777" w:rsidR="0006116B" w:rsidRPr="00764FC3" w:rsidRDefault="0006116B" w:rsidP="00FF3BB3">
      <w:pPr>
        <w:jc w:val="both"/>
        <w:rPr>
          <w:lang w:val="sr-Latn-RS"/>
        </w:rPr>
      </w:pPr>
    </w:p>
    <w:p w14:paraId="63CB1173" w14:textId="77777777" w:rsidR="0006116B" w:rsidRPr="00764FC3" w:rsidRDefault="0006116B" w:rsidP="00FF3BB3">
      <w:pPr>
        <w:rPr>
          <w:lang w:val="sr-Latn-RS"/>
        </w:rPr>
      </w:pPr>
    </w:p>
    <w:p w14:paraId="006960D1" w14:textId="77777777" w:rsidR="0006116B" w:rsidRPr="00764FC3" w:rsidRDefault="0006116B" w:rsidP="00FF3BB3">
      <w:pPr>
        <w:rPr>
          <w:lang w:val="sr-Latn-RS"/>
        </w:rPr>
        <w:sectPr w:rsidR="0006116B" w:rsidRPr="00764FC3" w:rsidSect="0069543C">
          <w:pgSz w:w="11906" w:h="16838"/>
          <w:pgMar w:top="1440" w:right="1440" w:bottom="1440" w:left="1440" w:header="708" w:footer="708" w:gutter="0"/>
          <w:cols w:space="708"/>
          <w:docGrid w:linePitch="360"/>
        </w:sectPr>
      </w:pPr>
    </w:p>
    <w:p w14:paraId="1BF00A42" w14:textId="4826F093"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Kačanik</w:t>
      </w:r>
    </w:p>
    <w:p w14:paraId="62C648BC" w14:textId="33F7893B" w:rsidR="00B10745" w:rsidRPr="00764FC3" w:rsidRDefault="00043B22" w:rsidP="00B10745">
      <w:pPr>
        <w:rPr>
          <w:b/>
        </w:rPr>
      </w:pPr>
      <w:r>
        <w:rPr>
          <w:noProof/>
          <w:lang w:val="en-GB" w:eastAsia="en-GB"/>
          <w14:ligatures w14:val="standardContextual"/>
        </w:rPr>
        <w:drawing>
          <wp:anchor distT="0" distB="0" distL="114300" distR="114300" simplePos="0" relativeHeight="251834368" behindDoc="0" locked="0" layoutInCell="1" allowOverlap="1" wp14:anchorId="06ED9B29" wp14:editId="4019BAAE">
            <wp:simplePos x="0" y="0"/>
            <wp:positionH relativeFrom="column">
              <wp:posOffset>1971675</wp:posOffset>
            </wp:positionH>
            <wp:positionV relativeFrom="paragraph">
              <wp:posOffset>285750</wp:posOffset>
            </wp:positionV>
            <wp:extent cx="3840480" cy="2257200"/>
            <wp:effectExtent l="0" t="0" r="7620" b="10160"/>
            <wp:wrapSquare wrapText="bothSides"/>
            <wp:docPr id="47" name="Chart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V relativeFrom="margin">
              <wp14:pctHeight>0</wp14:pctHeight>
            </wp14:sizeRelV>
          </wp:anchor>
        </w:drawing>
      </w:r>
      <w:r w:rsidR="00B10745" w:rsidRPr="00764FC3">
        <w:rPr>
          <w:b/>
        </w:rPr>
        <w:t xml:space="preserve">Procena minimalnih uslova za </w:t>
      </w:r>
      <w:r w:rsidR="00F41E1B">
        <w:rPr>
          <w:b/>
        </w:rPr>
        <w:t>202</w:t>
      </w:r>
      <w:r w:rsidR="00803579">
        <w:rPr>
          <w:b/>
        </w:rPr>
        <w:t>4</w:t>
      </w:r>
      <w:r w:rsidR="00B10745" w:rsidRPr="00764FC3">
        <w:rPr>
          <w:b/>
        </w:rPr>
        <w:t>. godinu</w:t>
      </w:r>
    </w:p>
    <w:p w14:paraId="3D8AAEA6" w14:textId="38017B93" w:rsidR="00B10745" w:rsidRPr="00043B22" w:rsidRDefault="00B10745" w:rsidP="00043B22">
      <w:pPr>
        <w:jc w:val="both"/>
        <w:rPr>
          <w:rFonts w:cstheme="majorHAnsi"/>
          <w:lang w:val="sr-Latn-RS"/>
        </w:rPr>
      </w:pPr>
      <w:r w:rsidRPr="00764FC3">
        <w:rPr>
          <w:rFonts w:cstheme="majorHAnsi"/>
        </w:rPr>
        <w:t xml:space="preserve">Opština Kačanik </w:t>
      </w:r>
      <w:r w:rsidR="00043B22">
        <w:rPr>
          <w:rFonts w:cstheme="majorHAnsi"/>
        </w:rPr>
        <w:t>se nije</w:t>
      </w:r>
      <w:r w:rsidRPr="00764FC3">
        <w:rPr>
          <w:rFonts w:cstheme="majorHAnsi"/>
        </w:rPr>
        <w:t xml:space="preserve"> kvalifiko</w:t>
      </w:r>
      <w:r w:rsidR="00043B22">
        <w:rPr>
          <w:rFonts w:cstheme="majorHAnsi"/>
        </w:rPr>
        <w:t>vala</w:t>
      </w:r>
      <w:r w:rsidRPr="00764FC3">
        <w:rPr>
          <w:rFonts w:cstheme="majorHAnsi"/>
        </w:rPr>
        <w:t xml:space="preserve"> </w:t>
      </w:r>
      <w:r w:rsidR="00B70B18" w:rsidRPr="00764FC3">
        <w:rPr>
          <w:rFonts w:cstheme="majorHAnsi"/>
          <w:lang w:val="sr-Latn-RS"/>
        </w:rPr>
        <w:t>za grant za opštinski učinak za 202</w:t>
      </w:r>
      <w:r w:rsidR="00043B22">
        <w:rPr>
          <w:rFonts w:cstheme="majorHAnsi"/>
          <w:lang w:val="sr-Latn-RS"/>
        </w:rPr>
        <w:t>6</w:t>
      </w:r>
      <w:r w:rsidR="00B70B18" w:rsidRPr="00764FC3">
        <w:rPr>
          <w:rFonts w:cstheme="majorHAnsi"/>
          <w:lang w:val="sr-Latn-RS"/>
        </w:rPr>
        <w:t xml:space="preserve">. godinu, na osnovu učinka za </w:t>
      </w:r>
      <w:r w:rsidR="00F41E1B">
        <w:rPr>
          <w:rFonts w:cstheme="majorHAnsi"/>
          <w:lang w:val="sr-Latn-RS"/>
        </w:rPr>
        <w:t>2024</w:t>
      </w:r>
      <w:r w:rsidR="00B70B18" w:rsidRPr="00764FC3">
        <w:rPr>
          <w:rFonts w:cstheme="majorHAnsi"/>
          <w:lang w:val="sr-Latn-RS"/>
        </w:rPr>
        <w:t>. godinu.</w:t>
      </w:r>
      <w:bookmarkStart w:id="43" w:name="_Hlk114228580"/>
    </w:p>
    <w:bookmarkEnd w:id="43"/>
    <w:p w14:paraId="450C539B" w14:textId="7BCA5970" w:rsidR="00B10745" w:rsidRPr="00043B22" w:rsidRDefault="00043B22" w:rsidP="00B10745">
      <w:r>
        <w:rPr>
          <w:rFonts w:cstheme="majorHAnsi"/>
          <w:lang w:val="sr-Latn-RS"/>
        </w:rPr>
        <w:t xml:space="preserve">Minimalni uslovi </w:t>
      </w:r>
      <w:r w:rsidRPr="00764FC3">
        <w:rPr>
          <w:rFonts w:cstheme="majorHAnsi"/>
        </w:rPr>
        <w:t>broj 3 (revizorsko mišljenje mora biti najmanje nemodifikovano sa akcentom na to pitanje)</w:t>
      </w:r>
      <w:r>
        <w:rPr>
          <w:rFonts w:cstheme="majorHAnsi"/>
        </w:rPr>
        <w:t xml:space="preserve"> i </w:t>
      </w:r>
      <w:r w:rsidRPr="00764FC3">
        <w:rPr>
          <w:rFonts w:cstheme="majorHAnsi"/>
        </w:rPr>
        <w:t>broj 2 (opštine moraju preispitati sve opštinske akte koje su nadzorni organi ocenili kao nezakonite u skladu sa zakonskim zahtevima)</w:t>
      </w:r>
      <w:r>
        <w:rPr>
          <w:rFonts w:cstheme="majorHAnsi"/>
        </w:rPr>
        <w:t xml:space="preserve"> nisu ispunjeni.</w:t>
      </w:r>
    </w:p>
    <w:p w14:paraId="04F03F0C" w14:textId="77777777" w:rsidR="00B10745" w:rsidRPr="00764FC3" w:rsidRDefault="00B10745" w:rsidP="00B10745">
      <w:pPr>
        <w:rPr>
          <w:b/>
        </w:rPr>
      </w:pPr>
    </w:p>
    <w:p w14:paraId="0FAF6BC1" w14:textId="5CA644CF"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57C58E06" w14:textId="0DC29581" w:rsidR="00B10745" w:rsidRPr="00764FC3" w:rsidRDefault="00043B22" w:rsidP="00B10745">
      <w:pPr>
        <w:jc w:val="both"/>
        <w:rPr>
          <w:rFonts w:cstheme="majorHAnsi"/>
        </w:rPr>
      </w:pPr>
      <w:r>
        <w:rPr>
          <w:noProof/>
          <w:lang w:val="en-GB" w:eastAsia="en-GB"/>
          <w14:ligatures w14:val="standardContextual"/>
        </w:rPr>
        <w:drawing>
          <wp:anchor distT="0" distB="0" distL="114300" distR="114300" simplePos="0" relativeHeight="251835392" behindDoc="0" locked="0" layoutInCell="1" allowOverlap="1" wp14:anchorId="0C906C2B" wp14:editId="27575A58">
            <wp:simplePos x="0" y="0"/>
            <wp:positionH relativeFrom="column">
              <wp:posOffset>1895475</wp:posOffset>
            </wp:positionH>
            <wp:positionV relativeFrom="paragraph">
              <wp:posOffset>300355</wp:posOffset>
            </wp:positionV>
            <wp:extent cx="3840480" cy="2743200"/>
            <wp:effectExtent l="0" t="0" r="7620" b="0"/>
            <wp:wrapSquare wrapText="bothSides"/>
            <wp:docPr id="48" name="Chart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anchor>
        </w:drawing>
      </w:r>
      <w:r w:rsidR="00B10745" w:rsidRPr="00764FC3">
        <w:rPr>
          <w:rFonts w:cstheme="majorHAnsi"/>
        </w:rPr>
        <w:t>Prosečni učinak opštine Kačanik u 2</w:t>
      </w:r>
      <w:r>
        <w:rPr>
          <w:rFonts w:cstheme="majorHAnsi"/>
        </w:rPr>
        <w:t>9</w:t>
      </w:r>
      <w:r w:rsidR="00B10745" w:rsidRPr="00764FC3">
        <w:rPr>
          <w:rFonts w:cstheme="majorHAnsi"/>
        </w:rPr>
        <w:t xml:space="preserve"> procenjenih pokazatelja je </w:t>
      </w:r>
      <w:r>
        <w:rPr>
          <w:rFonts w:cstheme="majorHAnsi"/>
        </w:rPr>
        <w:t>39</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39.80</w:t>
      </w:r>
      <w:r w:rsidR="00B10745" w:rsidRPr="00764FC3">
        <w:rPr>
          <w:rFonts w:cstheme="majorHAnsi"/>
        </w:rPr>
        <w:t>%).</w:t>
      </w:r>
      <w:r w:rsidR="00B10745" w:rsidRPr="00764FC3">
        <w:t xml:space="preserve"> </w:t>
      </w:r>
    </w:p>
    <w:p w14:paraId="50E65DE3" w14:textId="59FE6198" w:rsidR="00B10745" w:rsidRPr="00764FC3" w:rsidRDefault="00B10745" w:rsidP="00B10745">
      <w:pPr>
        <w:jc w:val="both"/>
        <w:rPr>
          <w:rFonts w:cstheme="majorHAnsi"/>
        </w:rPr>
      </w:pPr>
      <w:r w:rsidRPr="00764FC3">
        <w:rPr>
          <w:rFonts w:cstheme="majorHAnsi"/>
        </w:rPr>
        <w:t xml:space="preserve">Prosečni učinak u </w:t>
      </w:r>
      <w:r w:rsidR="00043B22">
        <w:rPr>
          <w:rFonts w:cstheme="majorHAnsi"/>
        </w:rPr>
        <w:t>13</w:t>
      </w:r>
      <w:r w:rsidRPr="00764FC3">
        <w:rPr>
          <w:rFonts w:cstheme="majorHAnsi"/>
        </w:rPr>
        <w:t xml:space="preserve"> pokazatelja procenjenih u okviru oblasti ‘Demokratsko upravljanje’ iznosi </w:t>
      </w:r>
      <w:r w:rsidR="00043B22">
        <w:rPr>
          <w:rFonts w:cstheme="majorHAnsi"/>
        </w:rPr>
        <w:t>24</w:t>
      </w:r>
      <w:r w:rsidRPr="00764FC3">
        <w:rPr>
          <w:rFonts w:cstheme="majorHAnsi"/>
        </w:rPr>
        <w:t xml:space="preserve"> bodova od ukupno </w:t>
      </w:r>
      <w:r w:rsidR="00043B22">
        <w:rPr>
          <w:rFonts w:cstheme="majorHAnsi"/>
        </w:rPr>
        <w:t>40</w:t>
      </w:r>
      <w:r w:rsidRPr="00764FC3">
        <w:rPr>
          <w:rFonts w:cstheme="majorHAnsi"/>
        </w:rPr>
        <w:t xml:space="preserve"> mogućih bodova (</w:t>
      </w:r>
      <w:r w:rsidR="00043B22">
        <w:rPr>
          <w:rFonts w:cstheme="majorHAnsi"/>
        </w:rPr>
        <w:t>60.00</w:t>
      </w:r>
      <w:r w:rsidRPr="00764FC3">
        <w:rPr>
          <w:rFonts w:cstheme="majorHAnsi"/>
        </w:rPr>
        <w:t xml:space="preserve">%). </w:t>
      </w:r>
    </w:p>
    <w:p w14:paraId="30ACA1E9" w14:textId="6391A36D"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043B22">
        <w:rPr>
          <w:rFonts w:cstheme="majorHAnsi"/>
        </w:rPr>
        <w:t>8</w:t>
      </w:r>
      <w:r w:rsidRPr="00764FC3">
        <w:rPr>
          <w:rFonts w:cstheme="majorHAnsi"/>
        </w:rPr>
        <w:t xml:space="preserve"> bodova od ukupno 2</w:t>
      </w:r>
      <w:r w:rsidR="00043B22">
        <w:rPr>
          <w:rFonts w:cstheme="majorHAnsi"/>
        </w:rPr>
        <w:t>8</w:t>
      </w:r>
      <w:r w:rsidRPr="00764FC3">
        <w:rPr>
          <w:rFonts w:cstheme="majorHAnsi"/>
        </w:rPr>
        <w:t xml:space="preserve"> mogućih bodova (</w:t>
      </w:r>
      <w:r w:rsidR="00043B22">
        <w:rPr>
          <w:rFonts w:cstheme="majorHAnsi"/>
        </w:rPr>
        <w:t>28.57</w:t>
      </w:r>
      <w:r w:rsidRPr="00764FC3">
        <w:rPr>
          <w:rFonts w:cstheme="majorHAnsi"/>
        </w:rPr>
        <w:t>%).</w:t>
      </w:r>
    </w:p>
    <w:p w14:paraId="69CC3651" w14:textId="12580B8F" w:rsidR="00B10745" w:rsidRPr="00764FC3" w:rsidRDefault="00B10745" w:rsidP="00B10745">
      <w:pPr>
        <w:jc w:val="both"/>
        <w:rPr>
          <w:rFonts w:cstheme="majorHAnsi"/>
        </w:rPr>
      </w:pPr>
      <w:r w:rsidRPr="00764FC3">
        <w:rPr>
          <w:rFonts w:cstheme="majorHAnsi"/>
        </w:rPr>
        <w:t xml:space="preserve">Prosečni učinak u </w:t>
      </w:r>
      <w:r w:rsidR="00043B22">
        <w:rPr>
          <w:rFonts w:cstheme="majorHAnsi"/>
        </w:rPr>
        <w:t>9</w:t>
      </w:r>
      <w:r w:rsidRPr="00764FC3">
        <w:rPr>
          <w:rFonts w:cstheme="majorHAnsi"/>
        </w:rPr>
        <w:t xml:space="preserve"> pokazatelja  procenjenih u okviru oblasti ‘Pružanje usluga’ je </w:t>
      </w:r>
      <w:r w:rsidR="00043B22">
        <w:rPr>
          <w:rFonts w:cstheme="majorHAnsi"/>
        </w:rPr>
        <w:t>7</w:t>
      </w:r>
      <w:r w:rsidRPr="00764FC3">
        <w:rPr>
          <w:rFonts w:cstheme="majorHAnsi"/>
        </w:rPr>
        <w:t xml:space="preserve"> bodova od ukupno </w:t>
      </w:r>
      <w:r w:rsidR="00043B22">
        <w:rPr>
          <w:rFonts w:cstheme="majorHAnsi"/>
        </w:rPr>
        <w:t>30</w:t>
      </w:r>
      <w:r w:rsidRPr="00764FC3">
        <w:rPr>
          <w:rFonts w:cstheme="majorHAnsi"/>
        </w:rPr>
        <w:t xml:space="preserve"> mogućih bodova (</w:t>
      </w:r>
      <w:r w:rsidR="00043B22">
        <w:rPr>
          <w:rFonts w:cstheme="majorHAnsi"/>
        </w:rPr>
        <w:t>39.80</w:t>
      </w:r>
      <w:r w:rsidRPr="00764FC3">
        <w:rPr>
          <w:rFonts w:cstheme="majorHAnsi"/>
        </w:rPr>
        <w:t>%).</w:t>
      </w:r>
    </w:p>
    <w:p w14:paraId="5A4CB6FD" w14:textId="77777777" w:rsidR="00B10745" w:rsidRPr="00764FC3" w:rsidRDefault="00B10745" w:rsidP="00B10745">
      <w:pPr>
        <w:jc w:val="both"/>
      </w:pPr>
    </w:p>
    <w:p w14:paraId="4C14E186"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581CB4CF" w14:textId="60796BCD" w:rsidR="00B10745" w:rsidRPr="00764FC3" w:rsidRDefault="00B10745" w:rsidP="00B10745">
      <w:pPr>
        <w:rPr>
          <w:rFonts w:cs="Calibri Light"/>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Kamenica</w:t>
      </w:r>
    </w:p>
    <w:p w14:paraId="02888D11" w14:textId="77777777" w:rsidR="00803579" w:rsidRPr="00764FC3" w:rsidRDefault="00803579" w:rsidP="00803579">
      <w:pPr>
        <w:rPr>
          <w:rFonts w:cstheme="majorHAnsi"/>
          <w:b/>
          <w:bCs/>
        </w:rPr>
      </w:pPr>
      <w:r w:rsidRPr="00764FC3">
        <w:rPr>
          <w:rFonts w:cstheme="majorHAnsi"/>
          <w:b/>
          <w:bCs/>
        </w:rPr>
        <w:t xml:space="preserve">Procena minimalnih uslova za </w:t>
      </w:r>
      <w:r>
        <w:rPr>
          <w:rFonts w:cstheme="majorHAnsi"/>
          <w:b/>
          <w:bCs/>
        </w:rPr>
        <w:t>2024</w:t>
      </w:r>
      <w:r w:rsidRPr="00764FC3">
        <w:rPr>
          <w:rFonts w:cstheme="majorHAnsi"/>
          <w:b/>
          <w:bCs/>
        </w:rPr>
        <w:t>. godinu</w:t>
      </w:r>
    </w:p>
    <w:p w14:paraId="2A4EB3BE" w14:textId="749E3321" w:rsidR="00B10745" w:rsidRPr="00764FC3" w:rsidRDefault="003D31BD" w:rsidP="00B10745">
      <w:pPr>
        <w:jc w:val="both"/>
        <w:rPr>
          <w:rFonts w:cstheme="majorHAnsi"/>
        </w:rPr>
      </w:pPr>
      <w:r>
        <w:rPr>
          <w:noProof/>
          <w:lang w:val="en-GB" w:eastAsia="en-GB"/>
          <w14:ligatures w14:val="standardContextual"/>
        </w:rPr>
        <w:drawing>
          <wp:anchor distT="0" distB="0" distL="114300" distR="114300" simplePos="0" relativeHeight="251836416" behindDoc="0" locked="0" layoutInCell="1" allowOverlap="1" wp14:anchorId="465141F9" wp14:editId="361B7EE7">
            <wp:simplePos x="0" y="0"/>
            <wp:positionH relativeFrom="column">
              <wp:posOffset>1838325</wp:posOffset>
            </wp:positionH>
            <wp:positionV relativeFrom="paragraph">
              <wp:posOffset>76200</wp:posOffset>
            </wp:positionV>
            <wp:extent cx="3840480" cy="2257200"/>
            <wp:effectExtent l="0" t="0" r="7620" b="10160"/>
            <wp:wrapSquare wrapText="bothSides"/>
            <wp:docPr id="49" name="Chart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V relativeFrom="margin">
              <wp14:pctHeight>0</wp14:pctHeight>
            </wp14:sizeRelV>
          </wp:anchor>
        </w:drawing>
      </w:r>
      <w:r w:rsidR="00B10745" w:rsidRPr="00764FC3">
        <w:rPr>
          <w:rFonts w:cstheme="majorHAnsi"/>
        </w:rPr>
        <w:t xml:space="preserve">Opština Kamenica se nije kvalifikovala </w:t>
      </w:r>
      <w:r w:rsidR="00F23705" w:rsidRPr="00764FC3">
        <w:rPr>
          <w:rFonts w:cstheme="majorHAnsi"/>
        </w:rPr>
        <w:t>za grant za opštinski učinak za 202</w:t>
      </w:r>
      <w:r>
        <w:rPr>
          <w:rFonts w:cstheme="majorHAnsi"/>
        </w:rPr>
        <w:t>6</w:t>
      </w:r>
      <w:r w:rsidR="00F23705" w:rsidRPr="00764FC3">
        <w:rPr>
          <w:rFonts w:cstheme="majorHAnsi"/>
        </w:rPr>
        <w:t xml:space="preserve">. godinu, na osnovu učinka za </w:t>
      </w:r>
      <w:r w:rsidR="00F41E1B">
        <w:rPr>
          <w:rFonts w:cstheme="majorHAnsi"/>
        </w:rPr>
        <w:t>2024</w:t>
      </w:r>
      <w:r w:rsidR="00F23705" w:rsidRPr="00764FC3">
        <w:rPr>
          <w:rFonts w:cstheme="majorHAnsi"/>
        </w:rPr>
        <w:t>. godinu.</w:t>
      </w:r>
      <w:r w:rsidR="00550F8C" w:rsidRPr="00764FC3">
        <w:rPr>
          <w:rFonts w:cstheme="majorHAnsi"/>
          <w:noProof/>
          <w:lang w:val="en-US"/>
        </w:rPr>
        <w:t xml:space="preserve"> </w:t>
      </w:r>
    </w:p>
    <w:p w14:paraId="28525658" w14:textId="1E857EBC" w:rsidR="00B10745" w:rsidRPr="00764FC3" w:rsidRDefault="00B10745" w:rsidP="00B10745">
      <w:pPr>
        <w:jc w:val="both"/>
        <w:rPr>
          <w:rFonts w:cstheme="majorHAnsi"/>
        </w:rPr>
      </w:pPr>
      <w:r w:rsidRPr="00764FC3">
        <w:rPr>
          <w:rFonts w:cstheme="majorHAnsi"/>
        </w:rPr>
        <w:t xml:space="preserve">Minimalni uslovi broj </w:t>
      </w:r>
      <w:r w:rsidR="003D31BD" w:rsidRPr="00764FC3">
        <w:rPr>
          <w:rFonts w:cstheme="majorHAnsi"/>
          <w:lang w:val="sr-Latn-RS"/>
        </w:rPr>
        <w:t xml:space="preserve">4 (stopa rashoda budžeta za kapitalne investicije za </w:t>
      </w:r>
      <w:r w:rsidR="003D31BD">
        <w:rPr>
          <w:rFonts w:cstheme="majorHAnsi"/>
          <w:lang w:val="sr-Latn-RS"/>
        </w:rPr>
        <w:t>2024</w:t>
      </w:r>
      <w:r w:rsidR="003D31BD" w:rsidRPr="00764FC3">
        <w:rPr>
          <w:rFonts w:cstheme="majorHAnsi"/>
          <w:lang w:val="sr-Latn-RS"/>
        </w:rPr>
        <w:t>. godinu treba da bude najmanje 75%)</w:t>
      </w:r>
      <w:r w:rsidR="003D31BD">
        <w:rPr>
          <w:rFonts w:cstheme="majorHAnsi"/>
          <w:lang w:val="sr-Latn-RS"/>
        </w:rPr>
        <w:t xml:space="preserve"> </w:t>
      </w:r>
      <w:r w:rsidRPr="00764FC3">
        <w:rPr>
          <w:rFonts w:cstheme="majorHAnsi"/>
        </w:rPr>
        <w:t>nije ispunjen.</w:t>
      </w:r>
    </w:p>
    <w:p w14:paraId="79C72B08" w14:textId="77777777" w:rsidR="00B10745" w:rsidRPr="00764FC3" w:rsidRDefault="00B10745" w:rsidP="00B10745">
      <w:pPr>
        <w:tabs>
          <w:tab w:val="left" w:pos="1190"/>
        </w:tabs>
      </w:pPr>
      <w:r w:rsidRPr="00764FC3">
        <w:rPr>
          <w:b/>
        </w:rPr>
        <w:tab/>
      </w:r>
    </w:p>
    <w:p w14:paraId="5855CC85" w14:textId="77777777" w:rsidR="00B10745" w:rsidRPr="00764FC3" w:rsidRDefault="00B10745" w:rsidP="00B10745">
      <w:pPr>
        <w:tabs>
          <w:tab w:val="left" w:pos="1190"/>
        </w:tabs>
        <w:rPr>
          <w:b/>
        </w:rPr>
      </w:pPr>
    </w:p>
    <w:p w14:paraId="6E93FDC7" w14:textId="5C792959"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3E7BB7F9" w14:textId="39126654" w:rsidR="00B10745" w:rsidRPr="00764FC3" w:rsidRDefault="003D31BD" w:rsidP="00B10745">
      <w:pPr>
        <w:jc w:val="both"/>
        <w:rPr>
          <w:rFonts w:cstheme="majorHAnsi"/>
        </w:rPr>
      </w:pPr>
      <w:r>
        <w:rPr>
          <w:noProof/>
          <w:lang w:val="en-GB" w:eastAsia="en-GB"/>
          <w14:ligatures w14:val="standardContextual"/>
        </w:rPr>
        <w:drawing>
          <wp:anchor distT="0" distB="0" distL="114300" distR="114300" simplePos="0" relativeHeight="251837440" behindDoc="0" locked="0" layoutInCell="1" allowOverlap="1" wp14:anchorId="1A39D5E2" wp14:editId="73073C4C">
            <wp:simplePos x="0" y="0"/>
            <wp:positionH relativeFrom="column">
              <wp:posOffset>1838325</wp:posOffset>
            </wp:positionH>
            <wp:positionV relativeFrom="paragraph">
              <wp:posOffset>290830</wp:posOffset>
            </wp:positionV>
            <wp:extent cx="3840480" cy="2743200"/>
            <wp:effectExtent l="0" t="0" r="7620" b="0"/>
            <wp:wrapSquare wrapText="bothSides"/>
            <wp:docPr id="50" name="Chart 5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r w:rsidR="00B10745" w:rsidRPr="00764FC3">
        <w:rPr>
          <w:rFonts w:cstheme="majorHAnsi"/>
        </w:rPr>
        <w:t xml:space="preserve">Prosečni učinak opštine Kamenica u </w:t>
      </w:r>
      <w:r>
        <w:rPr>
          <w:rFonts w:cstheme="majorHAnsi"/>
        </w:rPr>
        <w:t>29</w:t>
      </w:r>
      <w:r w:rsidR="00B10745" w:rsidRPr="00764FC3">
        <w:rPr>
          <w:rFonts w:cstheme="majorHAnsi"/>
        </w:rPr>
        <w:t xml:space="preserve"> procenjenih pokazatelja je </w:t>
      </w:r>
      <w:r>
        <w:rPr>
          <w:rFonts w:cstheme="majorHAnsi"/>
        </w:rPr>
        <w:t>32</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32.65</w:t>
      </w:r>
      <w:r w:rsidR="00B10745" w:rsidRPr="00764FC3">
        <w:rPr>
          <w:rFonts w:cstheme="majorHAnsi"/>
        </w:rPr>
        <w:t>%).</w:t>
      </w:r>
      <w:r w:rsidR="00B10745" w:rsidRPr="00764FC3">
        <w:t xml:space="preserve"> </w:t>
      </w:r>
    </w:p>
    <w:p w14:paraId="2B4DAEE3" w14:textId="5967A0D2" w:rsidR="00B10745" w:rsidRPr="00764FC3" w:rsidRDefault="00B10745" w:rsidP="00B10745">
      <w:pPr>
        <w:jc w:val="both"/>
        <w:rPr>
          <w:rFonts w:cstheme="majorHAnsi"/>
        </w:rPr>
      </w:pPr>
      <w:r w:rsidRPr="00764FC3">
        <w:rPr>
          <w:rFonts w:cstheme="majorHAnsi"/>
        </w:rPr>
        <w:t>Prosečni učinak u 1</w:t>
      </w:r>
      <w:r w:rsidR="003D31BD">
        <w:rPr>
          <w:rFonts w:cstheme="majorHAnsi"/>
        </w:rPr>
        <w:t>3</w:t>
      </w:r>
      <w:r w:rsidRPr="00764FC3">
        <w:rPr>
          <w:rFonts w:cstheme="majorHAnsi"/>
        </w:rPr>
        <w:t xml:space="preserve"> pokazatelja procenjenih u okviru oblasti ‘Demokratsko upravljanje’ iznosi </w:t>
      </w:r>
      <w:r w:rsidR="003D31BD">
        <w:rPr>
          <w:rFonts w:cstheme="majorHAnsi"/>
        </w:rPr>
        <w:t>14</w:t>
      </w:r>
      <w:r w:rsidRPr="00764FC3">
        <w:rPr>
          <w:rFonts w:cstheme="majorHAnsi"/>
        </w:rPr>
        <w:t xml:space="preserve"> bodova od ukupno </w:t>
      </w:r>
      <w:r w:rsidR="003D31BD">
        <w:rPr>
          <w:rFonts w:cstheme="majorHAnsi"/>
        </w:rPr>
        <w:t>40</w:t>
      </w:r>
      <w:r w:rsidRPr="00764FC3">
        <w:rPr>
          <w:rFonts w:cstheme="majorHAnsi"/>
        </w:rPr>
        <w:t xml:space="preserve"> mogućih bodova (</w:t>
      </w:r>
      <w:r w:rsidR="003D31BD">
        <w:rPr>
          <w:rFonts w:cstheme="majorHAnsi"/>
        </w:rPr>
        <w:t>35.00</w:t>
      </w:r>
      <w:r w:rsidRPr="00764FC3">
        <w:rPr>
          <w:rFonts w:cstheme="majorHAnsi"/>
        </w:rPr>
        <w:t>%).</w:t>
      </w:r>
    </w:p>
    <w:p w14:paraId="5E3B15BA" w14:textId="67077752" w:rsidR="00B10745" w:rsidRPr="00764FC3" w:rsidRDefault="00B10745" w:rsidP="00B10745">
      <w:pPr>
        <w:jc w:val="both"/>
        <w:rPr>
          <w:rFonts w:cstheme="majorHAnsi"/>
        </w:rPr>
      </w:pPr>
      <w:r w:rsidRPr="00764FC3">
        <w:rPr>
          <w:rFonts w:cstheme="majorHAnsi"/>
        </w:rPr>
        <w:t xml:space="preserve">Prosečni učinak u </w:t>
      </w:r>
      <w:r w:rsidR="003D31BD">
        <w:rPr>
          <w:rFonts w:cstheme="majorHAnsi"/>
        </w:rPr>
        <w:t>7</w:t>
      </w:r>
      <w:r w:rsidRPr="00764FC3">
        <w:rPr>
          <w:rFonts w:cstheme="majorHAnsi"/>
        </w:rPr>
        <w:t xml:space="preserve"> pokazatelja procenjenih u okviru oblasti ‘Opštinsko upravljanje’ je </w:t>
      </w:r>
      <w:r w:rsidR="003D31BD">
        <w:rPr>
          <w:rFonts w:cstheme="majorHAnsi"/>
        </w:rPr>
        <w:t>9</w:t>
      </w:r>
      <w:r w:rsidRPr="00764FC3">
        <w:rPr>
          <w:rFonts w:cstheme="majorHAnsi"/>
        </w:rPr>
        <w:t xml:space="preserve"> bodova od ukupno 2</w:t>
      </w:r>
      <w:r w:rsidR="003D31BD">
        <w:rPr>
          <w:rFonts w:cstheme="majorHAnsi"/>
        </w:rPr>
        <w:t>8</w:t>
      </w:r>
      <w:r w:rsidRPr="00764FC3">
        <w:rPr>
          <w:rFonts w:cstheme="majorHAnsi"/>
        </w:rPr>
        <w:t xml:space="preserve"> mogućih bodova (</w:t>
      </w:r>
      <w:r w:rsidR="003D31BD">
        <w:rPr>
          <w:rFonts w:cstheme="majorHAnsi"/>
        </w:rPr>
        <w:t>32.14</w:t>
      </w:r>
      <w:r w:rsidRPr="00764FC3">
        <w:rPr>
          <w:rFonts w:cstheme="majorHAnsi"/>
        </w:rPr>
        <w:t>%).</w:t>
      </w:r>
    </w:p>
    <w:p w14:paraId="1BBD638E" w14:textId="0521C6E4" w:rsidR="00B10745" w:rsidRPr="00764FC3" w:rsidRDefault="00B10745" w:rsidP="00B10745">
      <w:pPr>
        <w:jc w:val="both"/>
        <w:rPr>
          <w:rFonts w:cstheme="majorHAnsi"/>
        </w:rPr>
      </w:pPr>
      <w:r w:rsidRPr="00764FC3">
        <w:rPr>
          <w:rFonts w:cstheme="majorHAnsi"/>
        </w:rPr>
        <w:t xml:space="preserve">Prosečni učinak u </w:t>
      </w:r>
      <w:r w:rsidR="003D31BD">
        <w:rPr>
          <w:rFonts w:cstheme="majorHAnsi"/>
        </w:rPr>
        <w:t>9</w:t>
      </w:r>
      <w:r w:rsidRPr="00764FC3">
        <w:rPr>
          <w:rFonts w:cstheme="majorHAnsi"/>
        </w:rPr>
        <w:t xml:space="preserve"> pokazatelja procenjenih u okviru oblasti ‘Pružanje usluga’ je </w:t>
      </w:r>
      <w:r w:rsidR="003D31BD">
        <w:rPr>
          <w:rFonts w:cstheme="majorHAnsi"/>
        </w:rPr>
        <w:t>9</w:t>
      </w:r>
      <w:r w:rsidRPr="00764FC3">
        <w:rPr>
          <w:rFonts w:cstheme="majorHAnsi"/>
        </w:rPr>
        <w:t xml:space="preserve"> bodova od ukupno </w:t>
      </w:r>
      <w:r w:rsidR="003D31BD">
        <w:rPr>
          <w:rFonts w:cstheme="majorHAnsi"/>
        </w:rPr>
        <w:t>30</w:t>
      </w:r>
      <w:r w:rsidRPr="00764FC3">
        <w:rPr>
          <w:rFonts w:cstheme="majorHAnsi"/>
        </w:rPr>
        <w:t xml:space="preserve"> mogućih bodova (</w:t>
      </w:r>
      <w:r w:rsidR="003D31BD">
        <w:rPr>
          <w:rFonts w:cstheme="majorHAnsi"/>
        </w:rPr>
        <w:t>30.00</w:t>
      </w:r>
      <w:r w:rsidRPr="00764FC3">
        <w:rPr>
          <w:rFonts w:cstheme="majorHAnsi"/>
        </w:rPr>
        <w:t>%).</w:t>
      </w:r>
    </w:p>
    <w:p w14:paraId="4BA0F00A" w14:textId="77777777" w:rsidR="00B10745" w:rsidRPr="00764FC3" w:rsidRDefault="00B10745" w:rsidP="00B10745"/>
    <w:p w14:paraId="782584F9" w14:textId="77777777" w:rsidR="00B10745" w:rsidRPr="00764FC3" w:rsidRDefault="00B10745" w:rsidP="00B10745">
      <w:pPr>
        <w:jc w:val="both"/>
      </w:pPr>
    </w:p>
    <w:p w14:paraId="526B4063" w14:textId="77777777" w:rsidR="00B10745" w:rsidRPr="00764FC3" w:rsidRDefault="00B10745" w:rsidP="00B10745"/>
    <w:p w14:paraId="77920096" w14:textId="77777777" w:rsidR="00B10745" w:rsidRPr="00764FC3" w:rsidRDefault="00B10745" w:rsidP="00B10745"/>
    <w:p w14:paraId="63C39346"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60F5C7C8" w14:textId="7675AA67"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Klina</w:t>
      </w:r>
    </w:p>
    <w:p w14:paraId="5A1213A5" w14:textId="77777777" w:rsidR="00803579" w:rsidRPr="00764FC3" w:rsidRDefault="00803579" w:rsidP="00803579">
      <w:pPr>
        <w:rPr>
          <w:rFonts w:cstheme="majorHAnsi"/>
          <w:b/>
          <w:bCs/>
        </w:rPr>
      </w:pPr>
      <w:r w:rsidRPr="00764FC3">
        <w:rPr>
          <w:rFonts w:cstheme="majorHAnsi"/>
          <w:b/>
          <w:bCs/>
        </w:rPr>
        <w:t xml:space="preserve">Procena minimalnih uslova za </w:t>
      </w:r>
      <w:r>
        <w:rPr>
          <w:rFonts w:cstheme="majorHAnsi"/>
          <w:b/>
          <w:bCs/>
        </w:rPr>
        <w:t>2024</w:t>
      </w:r>
      <w:r w:rsidRPr="00764FC3">
        <w:rPr>
          <w:rFonts w:cstheme="majorHAnsi"/>
          <w:b/>
          <w:bCs/>
        </w:rPr>
        <w:t>. godinu</w:t>
      </w:r>
    </w:p>
    <w:p w14:paraId="695AA4B2" w14:textId="0631C205" w:rsidR="00B10745" w:rsidRPr="003D31BD" w:rsidRDefault="003D31BD" w:rsidP="00B10745">
      <w:pPr>
        <w:jc w:val="both"/>
        <w:rPr>
          <w:rFonts w:cstheme="majorHAnsi"/>
          <w:lang w:val="sr-Latn-RS"/>
        </w:rPr>
      </w:pPr>
      <w:r>
        <w:rPr>
          <w:noProof/>
          <w:lang w:val="en-GB" w:eastAsia="en-GB"/>
          <w14:ligatures w14:val="standardContextual"/>
        </w:rPr>
        <w:drawing>
          <wp:anchor distT="0" distB="0" distL="114300" distR="114300" simplePos="0" relativeHeight="251838464" behindDoc="0" locked="0" layoutInCell="1" allowOverlap="1" wp14:anchorId="510062F0" wp14:editId="4D5E134D">
            <wp:simplePos x="0" y="0"/>
            <wp:positionH relativeFrom="column">
              <wp:posOffset>2038350</wp:posOffset>
            </wp:positionH>
            <wp:positionV relativeFrom="paragraph">
              <wp:posOffset>38100</wp:posOffset>
            </wp:positionV>
            <wp:extent cx="3840480" cy="2257200"/>
            <wp:effectExtent l="0" t="0" r="7620" b="10160"/>
            <wp:wrapSquare wrapText="bothSides"/>
            <wp:docPr id="51" name="Chart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V relativeFrom="margin">
              <wp14:pctHeight>0</wp14:pctHeight>
            </wp14:sizeRelV>
          </wp:anchor>
        </w:drawing>
      </w:r>
      <w:r w:rsidR="00B10745" w:rsidRPr="00764FC3">
        <w:rPr>
          <w:rFonts w:cstheme="majorHAnsi"/>
        </w:rPr>
        <w:t xml:space="preserve">Opština Klina se kvalifikovala </w:t>
      </w:r>
      <w:r w:rsidR="00452957" w:rsidRPr="00764FC3">
        <w:rPr>
          <w:rFonts w:cstheme="majorHAnsi"/>
          <w:lang w:val="sr-Latn-RS"/>
        </w:rPr>
        <w:t>za grant za opštinski učinak za 202</w:t>
      </w:r>
      <w:r>
        <w:rPr>
          <w:rFonts w:cstheme="majorHAnsi"/>
          <w:lang w:val="sr-Latn-RS"/>
        </w:rPr>
        <w:t>6</w:t>
      </w:r>
      <w:r w:rsidR="00452957" w:rsidRPr="00764FC3">
        <w:rPr>
          <w:rFonts w:cstheme="majorHAnsi"/>
          <w:lang w:val="sr-Latn-RS"/>
        </w:rPr>
        <w:t xml:space="preserve">. godinu, na osnovu učinka za </w:t>
      </w:r>
      <w:r w:rsidR="00F41E1B">
        <w:rPr>
          <w:rFonts w:cstheme="majorHAnsi"/>
          <w:lang w:val="sr-Latn-RS"/>
        </w:rPr>
        <w:t>2024</w:t>
      </w:r>
      <w:r w:rsidR="00452957" w:rsidRPr="00764FC3">
        <w:rPr>
          <w:rFonts w:cstheme="majorHAnsi"/>
          <w:lang w:val="sr-Latn-RS"/>
        </w:rPr>
        <w:t>. godinu.</w:t>
      </w:r>
    </w:p>
    <w:p w14:paraId="556D3FE4" w14:textId="77777777" w:rsidR="00B10745" w:rsidRPr="00764FC3" w:rsidRDefault="00B10745" w:rsidP="00B10745">
      <w:pPr>
        <w:jc w:val="both"/>
        <w:rPr>
          <w:rFonts w:cstheme="majorHAnsi"/>
        </w:rPr>
      </w:pPr>
      <w:r w:rsidRPr="00764FC3">
        <w:rPr>
          <w:rFonts w:cstheme="majorHAnsi"/>
        </w:rPr>
        <w:t>Opština je ispunila četiri minimalna uslova.</w:t>
      </w:r>
    </w:p>
    <w:p w14:paraId="5B38F800" w14:textId="77777777" w:rsidR="00B10745" w:rsidRPr="00764FC3" w:rsidRDefault="00B10745" w:rsidP="00B10745">
      <w:pPr>
        <w:jc w:val="both"/>
      </w:pPr>
    </w:p>
    <w:p w14:paraId="338F009A" w14:textId="77777777" w:rsidR="00B10745" w:rsidRPr="00764FC3" w:rsidRDefault="00B10745" w:rsidP="00B10745">
      <w:pPr>
        <w:jc w:val="both"/>
      </w:pPr>
    </w:p>
    <w:p w14:paraId="1016DD4E" w14:textId="77777777" w:rsidR="00B10745" w:rsidRPr="00764FC3" w:rsidRDefault="00B10745" w:rsidP="00B10745">
      <w:pPr>
        <w:tabs>
          <w:tab w:val="left" w:pos="1190"/>
        </w:tabs>
      </w:pPr>
      <w:r w:rsidRPr="00764FC3">
        <w:rPr>
          <w:b/>
        </w:rPr>
        <w:tab/>
      </w:r>
    </w:p>
    <w:p w14:paraId="5834A624" w14:textId="77777777" w:rsidR="00B10745" w:rsidRPr="00764FC3" w:rsidRDefault="00B10745" w:rsidP="00B10745">
      <w:pPr>
        <w:tabs>
          <w:tab w:val="left" w:pos="1190"/>
        </w:tabs>
      </w:pPr>
      <w:r w:rsidRPr="00764FC3">
        <w:rPr>
          <w:b/>
        </w:rPr>
        <w:tab/>
      </w:r>
    </w:p>
    <w:p w14:paraId="76D6A4BE" w14:textId="77777777" w:rsidR="00B10745" w:rsidRPr="00764FC3" w:rsidRDefault="00B10745" w:rsidP="00B10745"/>
    <w:p w14:paraId="237AFBEB" w14:textId="61C35D98"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401F399E" w14:textId="1DFAAB89" w:rsidR="00B10745" w:rsidRPr="00764FC3" w:rsidRDefault="003D31BD" w:rsidP="00B10745">
      <w:pPr>
        <w:jc w:val="both"/>
        <w:rPr>
          <w:rFonts w:cstheme="majorHAnsi"/>
        </w:rPr>
      </w:pPr>
      <w:r>
        <w:rPr>
          <w:noProof/>
          <w:lang w:val="en-GB" w:eastAsia="en-GB"/>
          <w14:ligatures w14:val="standardContextual"/>
        </w:rPr>
        <w:drawing>
          <wp:anchor distT="0" distB="0" distL="114300" distR="114300" simplePos="0" relativeHeight="251839488" behindDoc="0" locked="0" layoutInCell="1" allowOverlap="1" wp14:anchorId="181DEAB6" wp14:editId="14CBF762">
            <wp:simplePos x="0" y="0"/>
            <wp:positionH relativeFrom="column">
              <wp:posOffset>1914525</wp:posOffset>
            </wp:positionH>
            <wp:positionV relativeFrom="paragraph">
              <wp:posOffset>446405</wp:posOffset>
            </wp:positionV>
            <wp:extent cx="3840480" cy="2743200"/>
            <wp:effectExtent l="0" t="0" r="7620" b="0"/>
            <wp:wrapSquare wrapText="bothSides"/>
            <wp:docPr id="52" name="Chart 5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anchor>
        </w:drawing>
      </w:r>
      <w:r w:rsidR="00B10745" w:rsidRPr="00764FC3">
        <w:rPr>
          <w:rFonts w:cstheme="majorHAnsi"/>
        </w:rPr>
        <w:t xml:space="preserve">Prosečni učinak opštine Klina u </w:t>
      </w:r>
      <w:r>
        <w:rPr>
          <w:rFonts w:cstheme="majorHAnsi"/>
        </w:rPr>
        <w:t>29</w:t>
      </w:r>
      <w:r w:rsidR="00B10745" w:rsidRPr="00764FC3">
        <w:rPr>
          <w:rFonts w:cstheme="majorHAnsi"/>
        </w:rPr>
        <w:t xml:space="preserve"> procenjenih pokazatelja je 5</w:t>
      </w:r>
      <w:r>
        <w:rPr>
          <w:rFonts w:cstheme="majorHAnsi"/>
        </w:rPr>
        <w:t>8</w:t>
      </w:r>
      <w:r w:rsidR="00B10745" w:rsidRPr="00764FC3">
        <w:rPr>
          <w:rFonts w:cstheme="majorHAnsi"/>
        </w:rPr>
        <w:t xml:space="preserve"> boda od ukupno 9</w:t>
      </w:r>
      <w:r>
        <w:rPr>
          <w:rFonts w:cstheme="majorHAnsi"/>
        </w:rPr>
        <w:t>8</w:t>
      </w:r>
      <w:r w:rsidR="00B10745" w:rsidRPr="00764FC3">
        <w:rPr>
          <w:rFonts w:cstheme="majorHAnsi"/>
        </w:rPr>
        <w:t xml:space="preserve"> mogućih bodova (</w:t>
      </w:r>
      <w:r>
        <w:rPr>
          <w:rFonts w:cstheme="majorHAnsi"/>
        </w:rPr>
        <w:t>59.18</w:t>
      </w:r>
      <w:r w:rsidR="00B10745" w:rsidRPr="00764FC3">
        <w:rPr>
          <w:rFonts w:cstheme="majorHAnsi"/>
        </w:rPr>
        <w:t>%).</w:t>
      </w:r>
      <w:r w:rsidR="00B10745" w:rsidRPr="00764FC3">
        <w:t xml:space="preserve"> </w:t>
      </w:r>
    </w:p>
    <w:p w14:paraId="08F234AC" w14:textId="2431B64D" w:rsidR="00B10745" w:rsidRPr="00764FC3" w:rsidRDefault="00B10745" w:rsidP="00B10745">
      <w:pPr>
        <w:jc w:val="both"/>
        <w:rPr>
          <w:rFonts w:cstheme="majorHAnsi"/>
        </w:rPr>
      </w:pPr>
      <w:r w:rsidRPr="00764FC3">
        <w:rPr>
          <w:rFonts w:cstheme="majorHAnsi"/>
        </w:rPr>
        <w:t>Prosečni učinak u 1</w:t>
      </w:r>
      <w:r w:rsidR="003D31BD">
        <w:rPr>
          <w:rFonts w:cstheme="majorHAnsi"/>
        </w:rPr>
        <w:t>3</w:t>
      </w:r>
      <w:r w:rsidRPr="00764FC3">
        <w:rPr>
          <w:rFonts w:cstheme="majorHAnsi"/>
        </w:rPr>
        <w:t xml:space="preserve"> pokazatelja procenjenih u okviru oblasti ‘Demokratsko upravljanje’ je </w:t>
      </w:r>
      <w:r w:rsidR="003D31BD">
        <w:rPr>
          <w:rFonts w:cstheme="majorHAnsi"/>
        </w:rPr>
        <w:t>34</w:t>
      </w:r>
      <w:r w:rsidRPr="00764FC3">
        <w:rPr>
          <w:rFonts w:cstheme="majorHAnsi"/>
        </w:rPr>
        <w:t xml:space="preserve"> bodova od ukupno </w:t>
      </w:r>
      <w:r w:rsidR="003D31BD">
        <w:rPr>
          <w:rFonts w:cstheme="majorHAnsi"/>
        </w:rPr>
        <w:t>40</w:t>
      </w:r>
      <w:r w:rsidRPr="00764FC3">
        <w:rPr>
          <w:rFonts w:cstheme="majorHAnsi"/>
        </w:rPr>
        <w:t xml:space="preserve"> mogućih bodova (</w:t>
      </w:r>
      <w:r w:rsidR="003D31BD">
        <w:rPr>
          <w:rFonts w:cstheme="majorHAnsi"/>
        </w:rPr>
        <w:t>85.00</w:t>
      </w:r>
      <w:r w:rsidRPr="00764FC3">
        <w:rPr>
          <w:rFonts w:cstheme="majorHAnsi"/>
        </w:rPr>
        <w:t>%).</w:t>
      </w:r>
    </w:p>
    <w:p w14:paraId="4EDB6EE5" w14:textId="03F5ED44" w:rsidR="00B10745" w:rsidRPr="00764FC3" w:rsidRDefault="00B10745" w:rsidP="00B10745">
      <w:pPr>
        <w:jc w:val="both"/>
        <w:rPr>
          <w:rFonts w:cstheme="majorHAnsi"/>
        </w:rPr>
      </w:pPr>
      <w:r w:rsidRPr="00764FC3">
        <w:rPr>
          <w:rFonts w:cstheme="majorHAnsi"/>
        </w:rPr>
        <w:t>Prosečni učinak u 7 pokazatelja procenjenih u okviru oblasti ‘Opštinsko upravljanje’ je 1</w:t>
      </w:r>
      <w:r w:rsidR="003D31BD">
        <w:rPr>
          <w:rFonts w:cstheme="majorHAnsi"/>
        </w:rPr>
        <w:t>1</w:t>
      </w:r>
      <w:r w:rsidRPr="00764FC3">
        <w:rPr>
          <w:rFonts w:cstheme="majorHAnsi"/>
        </w:rPr>
        <w:t xml:space="preserve"> bodova od ukupno 2</w:t>
      </w:r>
      <w:r w:rsidR="003D31BD">
        <w:rPr>
          <w:rFonts w:cstheme="majorHAnsi"/>
        </w:rPr>
        <w:t>8</w:t>
      </w:r>
      <w:r w:rsidRPr="00764FC3">
        <w:rPr>
          <w:rFonts w:cstheme="majorHAnsi"/>
        </w:rPr>
        <w:t xml:space="preserve"> mogućih bodova (</w:t>
      </w:r>
      <w:r w:rsidR="003D31BD">
        <w:rPr>
          <w:rFonts w:cstheme="majorHAnsi"/>
        </w:rPr>
        <w:t>39.29</w:t>
      </w:r>
      <w:r w:rsidRPr="00764FC3">
        <w:rPr>
          <w:rFonts w:cstheme="majorHAnsi"/>
        </w:rPr>
        <w:t>%).</w:t>
      </w:r>
    </w:p>
    <w:p w14:paraId="533A1ACF" w14:textId="54DD226F" w:rsidR="00B10745" w:rsidRPr="00764FC3" w:rsidRDefault="00B10745" w:rsidP="00B10745">
      <w:pPr>
        <w:jc w:val="both"/>
        <w:rPr>
          <w:rFonts w:cstheme="majorHAnsi"/>
        </w:rPr>
      </w:pPr>
      <w:r w:rsidRPr="00764FC3">
        <w:rPr>
          <w:rFonts w:cstheme="majorHAnsi"/>
        </w:rPr>
        <w:t xml:space="preserve">Prosečni učinak u </w:t>
      </w:r>
      <w:r w:rsidR="003D31BD">
        <w:rPr>
          <w:rFonts w:cstheme="majorHAnsi"/>
        </w:rPr>
        <w:t>9</w:t>
      </w:r>
      <w:r w:rsidRPr="00764FC3">
        <w:rPr>
          <w:rFonts w:cstheme="majorHAnsi"/>
        </w:rPr>
        <w:t xml:space="preserve"> pokazatelja procenjenih u okviru oblasti ‘Pružanje usluga’ je 1</w:t>
      </w:r>
      <w:r w:rsidR="003D31BD">
        <w:rPr>
          <w:rFonts w:cstheme="majorHAnsi"/>
        </w:rPr>
        <w:t>3</w:t>
      </w:r>
      <w:r w:rsidRPr="00764FC3">
        <w:rPr>
          <w:rFonts w:cstheme="majorHAnsi"/>
        </w:rPr>
        <w:t xml:space="preserve"> bodova od ukupno </w:t>
      </w:r>
      <w:r w:rsidR="003D31BD">
        <w:rPr>
          <w:rFonts w:cstheme="majorHAnsi"/>
        </w:rPr>
        <w:t>30</w:t>
      </w:r>
      <w:r w:rsidRPr="00764FC3">
        <w:rPr>
          <w:rFonts w:cstheme="majorHAnsi"/>
        </w:rPr>
        <w:t xml:space="preserve"> mogućih bodova (</w:t>
      </w:r>
      <w:r w:rsidR="003D31BD">
        <w:rPr>
          <w:rFonts w:cstheme="majorHAnsi"/>
        </w:rPr>
        <w:t>43.33</w:t>
      </w:r>
      <w:r w:rsidRPr="00764FC3">
        <w:rPr>
          <w:rFonts w:cstheme="majorHAnsi"/>
        </w:rPr>
        <w:t>%).</w:t>
      </w:r>
    </w:p>
    <w:p w14:paraId="77236C4F" w14:textId="77777777" w:rsidR="00B10745" w:rsidRPr="00764FC3" w:rsidRDefault="00B10745" w:rsidP="00B10745"/>
    <w:p w14:paraId="24FF0F3B"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67F82013" w14:textId="467A0D0E"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Klokot</w:t>
      </w:r>
    </w:p>
    <w:p w14:paraId="67CA61AD" w14:textId="77777777" w:rsidR="00803579" w:rsidRPr="00764FC3" w:rsidRDefault="00803579" w:rsidP="00803579">
      <w:pPr>
        <w:rPr>
          <w:rFonts w:cstheme="majorHAnsi"/>
          <w:b/>
          <w:bCs/>
        </w:rPr>
      </w:pPr>
      <w:r w:rsidRPr="00764FC3">
        <w:rPr>
          <w:rFonts w:cstheme="majorHAnsi"/>
          <w:b/>
          <w:bCs/>
        </w:rPr>
        <w:t xml:space="preserve">Procena minimalnih uslova za </w:t>
      </w:r>
      <w:r>
        <w:rPr>
          <w:rFonts w:cstheme="majorHAnsi"/>
          <w:b/>
          <w:bCs/>
        </w:rPr>
        <w:t>2024</w:t>
      </w:r>
      <w:r w:rsidRPr="00764FC3">
        <w:rPr>
          <w:rFonts w:cstheme="majorHAnsi"/>
          <w:b/>
          <w:bCs/>
        </w:rPr>
        <w:t>. godinu</w:t>
      </w:r>
    </w:p>
    <w:p w14:paraId="79438BF4" w14:textId="39F8B040" w:rsidR="00B10745" w:rsidRPr="00764FC3" w:rsidRDefault="003D31BD" w:rsidP="00B10745">
      <w:pPr>
        <w:jc w:val="both"/>
        <w:rPr>
          <w:rFonts w:cstheme="majorHAnsi"/>
        </w:rPr>
      </w:pPr>
      <w:r>
        <w:rPr>
          <w:noProof/>
          <w:lang w:val="en-GB" w:eastAsia="en-GB"/>
          <w14:ligatures w14:val="standardContextual"/>
        </w:rPr>
        <w:drawing>
          <wp:anchor distT="0" distB="0" distL="114300" distR="114300" simplePos="0" relativeHeight="251840512" behindDoc="0" locked="0" layoutInCell="1" allowOverlap="1" wp14:anchorId="4B1CABBF" wp14:editId="79FA2952">
            <wp:simplePos x="0" y="0"/>
            <wp:positionH relativeFrom="column">
              <wp:posOffset>1893570</wp:posOffset>
            </wp:positionH>
            <wp:positionV relativeFrom="paragraph">
              <wp:posOffset>123825</wp:posOffset>
            </wp:positionV>
            <wp:extent cx="3840480" cy="2257200"/>
            <wp:effectExtent l="0" t="0" r="7620" b="10160"/>
            <wp:wrapSquare wrapText="bothSides"/>
            <wp:docPr id="53" name="Chart 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V relativeFrom="margin">
              <wp14:pctHeight>0</wp14:pctHeight>
            </wp14:sizeRelV>
          </wp:anchor>
        </w:drawing>
      </w:r>
      <w:r w:rsidR="00B10745" w:rsidRPr="00764FC3">
        <w:rPr>
          <w:rFonts w:cstheme="majorHAnsi"/>
        </w:rPr>
        <w:t xml:space="preserve">Opština Klokot se nije kvalifikovala </w:t>
      </w:r>
      <w:r w:rsidR="004B30F1" w:rsidRPr="00764FC3">
        <w:rPr>
          <w:rFonts w:cstheme="majorHAnsi"/>
        </w:rPr>
        <w:t>za grant za opštinski učinak za 202</w:t>
      </w:r>
      <w:r>
        <w:rPr>
          <w:rFonts w:cstheme="majorHAnsi"/>
        </w:rPr>
        <w:t>6</w:t>
      </w:r>
      <w:r w:rsidR="004B30F1" w:rsidRPr="00764FC3">
        <w:rPr>
          <w:rFonts w:cstheme="majorHAnsi"/>
        </w:rPr>
        <w:t xml:space="preserve">. godinu, na osnovu učinka za </w:t>
      </w:r>
      <w:r w:rsidR="00F41E1B">
        <w:rPr>
          <w:rFonts w:cstheme="majorHAnsi"/>
        </w:rPr>
        <w:t>2024</w:t>
      </w:r>
      <w:r w:rsidR="004B30F1" w:rsidRPr="00764FC3">
        <w:rPr>
          <w:rFonts w:cstheme="majorHAnsi"/>
        </w:rPr>
        <w:t>. godinu.</w:t>
      </w:r>
      <w:r w:rsidR="007651A1" w:rsidRPr="00764FC3">
        <w:rPr>
          <w:rFonts w:cstheme="majorHAnsi"/>
          <w:noProof/>
          <w:lang w:val="en-US"/>
        </w:rPr>
        <w:t xml:space="preserve"> </w:t>
      </w:r>
    </w:p>
    <w:p w14:paraId="2F5D159D" w14:textId="13AF5B17" w:rsidR="00B10745" w:rsidRPr="00764FC3" w:rsidRDefault="00B10745" w:rsidP="00B10745">
      <w:pPr>
        <w:tabs>
          <w:tab w:val="left" w:pos="1190"/>
        </w:tabs>
        <w:jc w:val="both"/>
        <w:rPr>
          <w:rFonts w:cstheme="majorHAnsi"/>
        </w:rPr>
      </w:pPr>
      <w:bookmarkStart w:id="44" w:name="_Hlk114228165"/>
      <w:r w:rsidRPr="00764FC3">
        <w:rPr>
          <w:rFonts w:cstheme="majorHAnsi"/>
        </w:rPr>
        <w:t>Nisu ispunjeni minimalni uslovi</w:t>
      </w:r>
      <w:r w:rsidR="003D31BD">
        <w:rPr>
          <w:rFonts w:cstheme="majorHAnsi"/>
        </w:rPr>
        <w:t>:</w:t>
      </w:r>
      <w:r w:rsidRPr="00764FC3">
        <w:rPr>
          <w:rFonts w:cstheme="majorHAnsi"/>
        </w:rPr>
        <w:t xml:space="preserve"> broj </w:t>
      </w:r>
      <w:r w:rsidR="003D31BD">
        <w:rPr>
          <w:rFonts w:cstheme="majorHAnsi"/>
        </w:rPr>
        <w:t xml:space="preserve">1 </w:t>
      </w:r>
      <w:r w:rsidR="003D31BD" w:rsidRPr="003D31BD">
        <w:rPr>
          <w:rFonts w:cstheme="majorHAnsi"/>
        </w:rPr>
        <w:t>Opštine su morale prijaviti podatke SUOU u roku definisanim u članu 19.2 Zakona o SUOU/GOU</w:t>
      </w:r>
      <w:r w:rsidR="003D31BD">
        <w:rPr>
          <w:rFonts w:cstheme="majorHAnsi"/>
        </w:rPr>
        <w:t xml:space="preserve">, broj </w:t>
      </w:r>
      <w:r w:rsidRPr="00764FC3">
        <w:rPr>
          <w:rFonts w:cstheme="majorHAnsi"/>
        </w:rPr>
        <w:t xml:space="preserve">3 (da je mišljenje revizora najmanje nemodifikovano sa naglaskom na to pitanje) i broj 4 (stopa trošenja budžeta za kapitalne investicije za </w:t>
      </w:r>
      <w:r w:rsidR="00F41E1B">
        <w:rPr>
          <w:rFonts w:cstheme="majorHAnsi"/>
        </w:rPr>
        <w:t>2024</w:t>
      </w:r>
      <w:r w:rsidRPr="00764FC3">
        <w:rPr>
          <w:rFonts w:cstheme="majorHAnsi"/>
        </w:rPr>
        <w:t>. godinu da bude najmanje 75%)</w:t>
      </w:r>
      <w:r w:rsidR="003D31BD">
        <w:rPr>
          <w:rFonts w:cstheme="majorHAnsi"/>
        </w:rPr>
        <w:t>.</w:t>
      </w:r>
    </w:p>
    <w:bookmarkEnd w:id="44"/>
    <w:p w14:paraId="245B6A6F" w14:textId="49463821" w:rsidR="00B10745" w:rsidRPr="00764FC3" w:rsidRDefault="00B10745" w:rsidP="003D31BD">
      <w:pPr>
        <w:tabs>
          <w:tab w:val="left" w:pos="1190"/>
        </w:tabs>
      </w:pPr>
      <w:r w:rsidRPr="00764FC3">
        <w:rPr>
          <w:b/>
        </w:rPr>
        <w:tab/>
      </w:r>
    </w:p>
    <w:p w14:paraId="620EED87" w14:textId="3D18074C"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71BB3FA3" w14:textId="6CE35157" w:rsidR="00B10745" w:rsidRPr="00764FC3" w:rsidRDefault="00B10745" w:rsidP="00B10745">
      <w:pPr>
        <w:jc w:val="both"/>
        <w:rPr>
          <w:rFonts w:cstheme="majorHAnsi"/>
        </w:rPr>
      </w:pPr>
      <w:r w:rsidRPr="00764FC3">
        <w:rPr>
          <w:rFonts w:cstheme="majorHAnsi"/>
        </w:rPr>
        <w:t xml:space="preserve">Prosečni učinak opštine Klokot u </w:t>
      </w:r>
      <w:r w:rsidR="003D31BD">
        <w:rPr>
          <w:rFonts w:cstheme="majorHAnsi"/>
        </w:rPr>
        <w:t>29</w:t>
      </w:r>
      <w:r w:rsidRPr="00764FC3">
        <w:rPr>
          <w:rFonts w:cstheme="majorHAnsi"/>
        </w:rPr>
        <w:t xml:space="preserve"> procenjenih pokazatelja je </w:t>
      </w:r>
      <w:r w:rsidR="003D31BD">
        <w:rPr>
          <w:rFonts w:cstheme="majorHAnsi"/>
        </w:rPr>
        <w:t>0</w:t>
      </w:r>
      <w:r w:rsidRPr="00764FC3">
        <w:rPr>
          <w:rFonts w:cstheme="majorHAnsi"/>
        </w:rPr>
        <w:t xml:space="preserve"> bodova od ukupno 9</w:t>
      </w:r>
      <w:r w:rsidR="003D31BD">
        <w:rPr>
          <w:rFonts w:cstheme="majorHAnsi"/>
        </w:rPr>
        <w:t>8</w:t>
      </w:r>
      <w:r w:rsidRPr="00764FC3">
        <w:rPr>
          <w:rFonts w:cstheme="majorHAnsi"/>
        </w:rPr>
        <w:t xml:space="preserve"> mogućih bodova (</w:t>
      </w:r>
      <w:r w:rsidR="003D31BD">
        <w:rPr>
          <w:rFonts w:cstheme="majorHAnsi"/>
        </w:rPr>
        <w:t>0</w:t>
      </w:r>
      <w:r w:rsidRPr="00764FC3">
        <w:rPr>
          <w:rFonts w:cstheme="majorHAnsi"/>
        </w:rPr>
        <w:t>%).</w:t>
      </w:r>
      <w:r w:rsidRPr="00764FC3">
        <w:t xml:space="preserve"> </w:t>
      </w:r>
    </w:p>
    <w:p w14:paraId="37854A20" w14:textId="769DD900" w:rsidR="00B10745" w:rsidRPr="00764FC3" w:rsidRDefault="00B10745" w:rsidP="00B10745">
      <w:pPr>
        <w:jc w:val="both"/>
        <w:rPr>
          <w:rFonts w:cstheme="majorHAnsi"/>
        </w:rPr>
      </w:pPr>
      <w:r w:rsidRPr="00764FC3">
        <w:rPr>
          <w:rFonts w:cstheme="majorHAnsi"/>
        </w:rPr>
        <w:t xml:space="preserve">Prosečni učinak u </w:t>
      </w:r>
      <w:r w:rsidR="003D31BD">
        <w:rPr>
          <w:rFonts w:cstheme="majorHAnsi"/>
        </w:rPr>
        <w:t>13</w:t>
      </w:r>
      <w:r w:rsidRPr="00764FC3">
        <w:rPr>
          <w:rFonts w:cstheme="majorHAnsi"/>
        </w:rPr>
        <w:t xml:space="preserve"> pokazatelja procenjenih u okviru oblasti ‘Demokratsko upravljanje’ iznosi </w:t>
      </w:r>
      <w:r w:rsidR="003D31BD">
        <w:rPr>
          <w:rFonts w:cstheme="majorHAnsi"/>
        </w:rPr>
        <w:t>0</w:t>
      </w:r>
      <w:r w:rsidRPr="00764FC3">
        <w:rPr>
          <w:rFonts w:cstheme="majorHAnsi"/>
        </w:rPr>
        <w:t xml:space="preserve"> bodova od ukupno</w:t>
      </w:r>
      <w:r w:rsidR="003D31BD">
        <w:rPr>
          <w:rFonts w:cstheme="majorHAnsi"/>
        </w:rPr>
        <w:t xml:space="preserve"> 40</w:t>
      </w:r>
      <w:r w:rsidRPr="00764FC3">
        <w:rPr>
          <w:rFonts w:cstheme="majorHAnsi"/>
        </w:rPr>
        <w:t xml:space="preserve"> mogućih bodova (</w:t>
      </w:r>
      <w:r w:rsidR="003D31BD">
        <w:rPr>
          <w:rFonts w:cstheme="majorHAnsi"/>
        </w:rPr>
        <w:t>0</w:t>
      </w:r>
      <w:r w:rsidRPr="00764FC3">
        <w:rPr>
          <w:rFonts w:cstheme="majorHAnsi"/>
        </w:rPr>
        <w:t>%).</w:t>
      </w:r>
    </w:p>
    <w:p w14:paraId="0F79757C" w14:textId="34AB2035"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3D31BD">
        <w:rPr>
          <w:rFonts w:cstheme="majorHAnsi"/>
        </w:rPr>
        <w:t>0</w:t>
      </w:r>
      <w:r w:rsidRPr="00764FC3">
        <w:rPr>
          <w:rFonts w:cstheme="majorHAnsi"/>
        </w:rPr>
        <w:t xml:space="preserve"> bodova od ukupno </w:t>
      </w:r>
      <w:r w:rsidR="00AD3B5B">
        <w:rPr>
          <w:rFonts w:cstheme="majorHAnsi"/>
        </w:rPr>
        <w:t xml:space="preserve">28 </w:t>
      </w:r>
      <w:r w:rsidRPr="00764FC3">
        <w:rPr>
          <w:rFonts w:cstheme="majorHAnsi"/>
        </w:rPr>
        <w:t>mogućih bodova (</w:t>
      </w:r>
      <w:r w:rsidR="00AD3B5B">
        <w:rPr>
          <w:rFonts w:cstheme="majorHAnsi"/>
        </w:rPr>
        <w:t>0</w:t>
      </w:r>
      <w:r w:rsidRPr="00764FC3">
        <w:rPr>
          <w:rFonts w:cstheme="majorHAnsi"/>
        </w:rPr>
        <w:t>%).</w:t>
      </w:r>
    </w:p>
    <w:p w14:paraId="419CD0F1" w14:textId="38B45A54" w:rsidR="00B10745" w:rsidRPr="00764FC3" w:rsidRDefault="00B10745" w:rsidP="00B10745">
      <w:pPr>
        <w:jc w:val="both"/>
        <w:rPr>
          <w:rFonts w:cstheme="majorHAnsi"/>
        </w:rPr>
      </w:pPr>
      <w:r w:rsidRPr="00764FC3">
        <w:rPr>
          <w:rFonts w:cstheme="majorHAnsi"/>
        </w:rPr>
        <w:t xml:space="preserve">Prosečni učinak u </w:t>
      </w:r>
      <w:r w:rsidR="00AD3B5B">
        <w:rPr>
          <w:rFonts w:cstheme="majorHAnsi"/>
        </w:rPr>
        <w:t>9</w:t>
      </w:r>
      <w:r w:rsidRPr="00764FC3">
        <w:rPr>
          <w:rFonts w:cstheme="majorHAnsi"/>
        </w:rPr>
        <w:t xml:space="preserve"> pokazatelja procenjenih u okviru oblasti ‘Pružanje usluga’ je </w:t>
      </w:r>
      <w:r w:rsidR="00AD3B5B">
        <w:rPr>
          <w:rFonts w:cstheme="majorHAnsi"/>
        </w:rPr>
        <w:t>0</w:t>
      </w:r>
      <w:r w:rsidRPr="00764FC3">
        <w:rPr>
          <w:rFonts w:cstheme="majorHAnsi"/>
        </w:rPr>
        <w:t xml:space="preserve"> bodova od ukupno </w:t>
      </w:r>
      <w:r w:rsidR="00AD3B5B">
        <w:rPr>
          <w:rFonts w:cstheme="majorHAnsi"/>
        </w:rPr>
        <w:t>30</w:t>
      </w:r>
      <w:r w:rsidRPr="00764FC3">
        <w:rPr>
          <w:rFonts w:cstheme="majorHAnsi"/>
        </w:rPr>
        <w:t xml:space="preserve"> mogućih bodova (</w:t>
      </w:r>
      <w:r w:rsidR="00AD3B5B">
        <w:rPr>
          <w:rFonts w:cstheme="majorHAnsi"/>
        </w:rPr>
        <w:t>0</w:t>
      </w:r>
      <w:r w:rsidRPr="00764FC3">
        <w:rPr>
          <w:rFonts w:cstheme="majorHAnsi"/>
        </w:rPr>
        <w:t>%).</w:t>
      </w:r>
    </w:p>
    <w:p w14:paraId="38087E8D" w14:textId="77777777" w:rsidR="00B10745" w:rsidRPr="00764FC3" w:rsidRDefault="00B10745" w:rsidP="00B10745"/>
    <w:p w14:paraId="38EBA843"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43A2DF4B" w14:textId="77C98F0D"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Leposavić</w:t>
      </w:r>
    </w:p>
    <w:p w14:paraId="0F7DCA66" w14:textId="77777777" w:rsidR="00803579" w:rsidRPr="00764FC3" w:rsidRDefault="00803579" w:rsidP="00803579">
      <w:pPr>
        <w:rPr>
          <w:rFonts w:cstheme="majorHAnsi"/>
          <w:b/>
          <w:bCs/>
        </w:rPr>
      </w:pPr>
      <w:r w:rsidRPr="00764FC3">
        <w:rPr>
          <w:rFonts w:cstheme="majorHAnsi"/>
          <w:b/>
          <w:bCs/>
        </w:rPr>
        <w:t xml:space="preserve">Procena minimalnih uslova za </w:t>
      </w:r>
      <w:r>
        <w:rPr>
          <w:rFonts w:cstheme="majorHAnsi"/>
          <w:b/>
          <w:bCs/>
        </w:rPr>
        <w:t>2024</w:t>
      </w:r>
      <w:r w:rsidRPr="00764FC3">
        <w:rPr>
          <w:rFonts w:cstheme="majorHAnsi"/>
          <w:b/>
          <w:bCs/>
        </w:rPr>
        <w:t>. godinu</w:t>
      </w:r>
    </w:p>
    <w:p w14:paraId="0EE9712D" w14:textId="2F85F9D1" w:rsidR="00F9207F" w:rsidRPr="00764FC3" w:rsidRDefault="00AD3B5B" w:rsidP="00F9207F">
      <w:pPr>
        <w:jc w:val="both"/>
        <w:rPr>
          <w:rFonts w:cstheme="majorHAnsi"/>
          <w:lang w:val="sr-Latn-RS"/>
        </w:rPr>
      </w:pPr>
      <w:r>
        <w:rPr>
          <w:noProof/>
          <w:lang w:val="en-GB" w:eastAsia="en-GB"/>
          <w14:ligatures w14:val="standardContextual"/>
        </w:rPr>
        <w:drawing>
          <wp:anchor distT="0" distB="0" distL="114300" distR="114300" simplePos="0" relativeHeight="251842560" behindDoc="0" locked="0" layoutInCell="1" allowOverlap="1" wp14:anchorId="14BED7FD" wp14:editId="2D173E73">
            <wp:simplePos x="0" y="0"/>
            <wp:positionH relativeFrom="column">
              <wp:posOffset>1838325</wp:posOffset>
            </wp:positionH>
            <wp:positionV relativeFrom="paragraph">
              <wp:posOffset>380365</wp:posOffset>
            </wp:positionV>
            <wp:extent cx="3840480" cy="2257200"/>
            <wp:effectExtent l="0" t="0" r="7620" b="10160"/>
            <wp:wrapSquare wrapText="bothSides"/>
            <wp:docPr id="54" name="Chart 5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V relativeFrom="margin">
              <wp14:pctHeight>0</wp14:pctHeight>
            </wp14:sizeRelV>
          </wp:anchor>
        </w:drawing>
      </w:r>
      <w:r w:rsidR="00B10745" w:rsidRPr="00764FC3">
        <w:rPr>
          <w:rFonts w:cstheme="majorHAnsi"/>
        </w:rPr>
        <w:t xml:space="preserve">Opština Leposavić se nije kvalifikovala </w:t>
      </w:r>
      <w:bookmarkStart w:id="45" w:name="_Hlk178069565"/>
      <w:r w:rsidR="00F9207F" w:rsidRPr="00764FC3">
        <w:rPr>
          <w:rFonts w:cstheme="majorHAnsi"/>
          <w:lang w:val="sr-Latn-RS"/>
        </w:rPr>
        <w:t>za grant za opštinski učinak za 202</w:t>
      </w:r>
      <w:r>
        <w:rPr>
          <w:rFonts w:cstheme="majorHAnsi"/>
          <w:lang w:val="sr-Latn-RS"/>
        </w:rPr>
        <w:t>6</w:t>
      </w:r>
      <w:r w:rsidR="00F9207F" w:rsidRPr="00764FC3">
        <w:rPr>
          <w:rFonts w:cstheme="majorHAnsi"/>
          <w:lang w:val="sr-Latn-RS"/>
        </w:rPr>
        <w:t xml:space="preserve">. godinu, na osnovu učinka za </w:t>
      </w:r>
      <w:r w:rsidR="00F41E1B">
        <w:rPr>
          <w:rFonts w:cstheme="majorHAnsi"/>
          <w:lang w:val="sr-Latn-RS"/>
        </w:rPr>
        <w:t>2024</w:t>
      </w:r>
      <w:r w:rsidR="00F9207F" w:rsidRPr="00764FC3">
        <w:rPr>
          <w:rFonts w:cstheme="majorHAnsi"/>
          <w:lang w:val="sr-Latn-RS"/>
        </w:rPr>
        <w:t>. godinu.</w:t>
      </w:r>
      <w:r w:rsidR="002F5776" w:rsidRPr="00764FC3">
        <w:rPr>
          <w:rFonts w:cstheme="majorHAnsi"/>
          <w:noProof/>
          <w:lang w:val="en-US"/>
        </w:rPr>
        <w:t xml:space="preserve"> </w:t>
      </w:r>
    </w:p>
    <w:bookmarkEnd w:id="45"/>
    <w:p w14:paraId="794FC67C" w14:textId="77777777" w:rsidR="00AD3B5B" w:rsidRPr="00764FC3" w:rsidRDefault="00AD3B5B" w:rsidP="00AD3B5B">
      <w:pPr>
        <w:tabs>
          <w:tab w:val="left" w:pos="1190"/>
        </w:tabs>
        <w:jc w:val="both"/>
        <w:rPr>
          <w:rFonts w:cstheme="majorHAnsi"/>
        </w:rPr>
      </w:pPr>
      <w:r w:rsidRPr="00764FC3">
        <w:rPr>
          <w:rFonts w:cstheme="majorHAnsi"/>
        </w:rPr>
        <w:t>Nisu ispunjeni minimalni uslovi</w:t>
      </w:r>
      <w:r>
        <w:rPr>
          <w:rFonts w:cstheme="majorHAnsi"/>
        </w:rPr>
        <w:t>:</w:t>
      </w:r>
      <w:r w:rsidRPr="00764FC3">
        <w:rPr>
          <w:rFonts w:cstheme="majorHAnsi"/>
        </w:rPr>
        <w:t xml:space="preserve"> broj </w:t>
      </w:r>
      <w:r>
        <w:rPr>
          <w:rFonts w:cstheme="majorHAnsi"/>
        </w:rPr>
        <w:t xml:space="preserve">1 </w:t>
      </w:r>
      <w:r w:rsidRPr="003D31BD">
        <w:rPr>
          <w:rFonts w:cstheme="majorHAnsi"/>
        </w:rPr>
        <w:t>Opštine su morale prijaviti podatke SUOU u roku definisanim u članu 19.2 Zakona o SUOU/GOU</w:t>
      </w:r>
      <w:r>
        <w:rPr>
          <w:rFonts w:cstheme="majorHAnsi"/>
        </w:rPr>
        <w:t xml:space="preserve">, broj </w:t>
      </w:r>
      <w:r w:rsidRPr="00764FC3">
        <w:rPr>
          <w:rFonts w:cstheme="majorHAnsi"/>
        </w:rPr>
        <w:t xml:space="preserve">3 (da je mišljenje revizora najmanje nemodifikovano sa naglaskom na to pitanje) i broj 4 (stopa trošenja budžeta za kapitalne investicije za </w:t>
      </w:r>
      <w:r>
        <w:rPr>
          <w:rFonts w:cstheme="majorHAnsi"/>
        </w:rPr>
        <w:t>2024</w:t>
      </w:r>
      <w:r w:rsidRPr="00764FC3">
        <w:rPr>
          <w:rFonts w:cstheme="majorHAnsi"/>
        </w:rPr>
        <w:t>. godinu da bude najmanje 75%)</w:t>
      </w:r>
      <w:r>
        <w:rPr>
          <w:rFonts w:cstheme="majorHAnsi"/>
        </w:rPr>
        <w:t>.</w:t>
      </w:r>
    </w:p>
    <w:p w14:paraId="33A79068" w14:textId="047E697A" w:rsidR="00B10745" w:rsidRPr="00764FC3" w:rsidRDefault="00B10745" w:rsidP="008A6040">
      <w:pPr>
        <w:tabs>
          <w:tab w:val="left" w:pos="1190"/>
        </w:tabs>
      </w:pPr>
      <w:r w:rsidRPr="00764FC3">
        <w:rPr>
          <w:b/>
        </w:rPr>
        <w:tab/>
      </w:r>
      <w:r w:rsidRPr="00764FC3">
        <w:rPr>
          <w:b/>
        </w:rPr>
        <w:tab/>
      </w:r>
    </w:p>
    <w:p w14:paraId="3E5BB821" w14:textId="43384154"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694139CD" w14:textId="77777777" w:rsidR="00AD3B5B" w:rsidRPr="00764FC3" w:rsidRDefault="00AD3B5B" w:rsidP="00AD3B5B">
      <w:pPr>
        <w:jc w:val="both"/>
        <w:rPr>
          <w:rFonts w:cstheme="majorHAnsi"/>
        </w:rPr>
      </w:pPr>
      <w:r w:rsidRPr="00764FC3">
        <w:rPr>
          <w:rFonts w:cstheme="majorHAnsi"/>
        </w:rPr>
        <w:t xml:space="preserve">Prosečni učinak opštine Klokot u </w:t>
      </w:r>
      <w:r>
        <w:rPr>
          <w:rFonts w:cstheme="majorHAnsi"/>
        </w:rPr>
        <w:t>29</w:t>
      </w:r>
      <w:r w:rsidRPr="00764FC3">
        <w:rPr>
          <w:rFonts w:cstheme="majorHAnsi"/>
        </w:rPr>
        <w:t xml:space="preserve"> procenjenih pokazatelja je </w:t>
      </w:r>
      <w:r>
        <w:rPr>
          <w:rFonts w:cstheme="majorHAnsi"/>
        </w:rPr>
        <w:t>0</w:t>
      </w:r>
      <w:r w:rsidRPr="00764FC3">
        <w:rPr>
          <w:rFonts w:cstheme="majorHAnsi"/>
        </w:rPr>
        <w:t xml:space="preserve"> bodova od ukupno 9</w:t>
      </w:r>
      <w:r>
        <w:rPr>
          <w:rFonts w:cstheme="majorHAnsi"/>
        </w:rPr>
        <w:t>8</w:t>
      </w:r>
      <w:r w:rsidRPr="00764FC3">
        <w:rPr>
          <w:rFonts w:cstheme="majorHAnsi"/>
        </w:rPr>
        <w:t xml:space="preserve"> mogućih bodova (</w:t>
      </w:r>
      <w:r>
        <w:rPr>
          <w:rFonts w:cstheme="majorHAnsi"/>
        </w:rPr>
        <w:t>0</w:t>
      </w:r>
      <w:r w:rsidRPr="00764FC3">
        <w:rPr>
          <w:rFonts w:cstheme="majorHAnsi"/>
        </w:rPr>
        <w:t>%).</w:t>
      </w:r>
      <w:r w:rsidRPr="00764FC3">
        <w:t xml:space="preserve"> </w:t>
      </w:r>
    </w:p>
    <w:p w14:paraId="0653613E" w14:textId="77777777" w:rsidR="00AD3B5B" w:rsidRPr="00764FC3" w:rsidRDefault="00AD3B5B" w:rsidP="00AD3B5B">
      <w:pPr>
        <w:jc w:val="both"/>
        <w:rPr>
          <w:rFonts w:cstheme="majorHAnsi"/>
        </w:rPr>
      </w:pPr>
      <w:r w:rsidRPr="00764FC3">
        <w:rPr>
          <w:rFonts w:cstheme="majorHAnsi"/>
        </w:rPr>
        <w:t xml:space="preserve">Prosečni učinak u </w:t>
      </w:r>
      <w:r>
        <w:rPr>
          <w:rFonts w:cstheme="majorHAnsi"/>
        </w:rPr>
        <w:t>13</w:t>
      </w:r>
      <w:r w:rsidRPr="00764FC3">
        <w:rPr>
          <w:rFonts w:cstheme="majorHAnsi"/>
        </w:rPr>
        <w:t xml:space="preserve"> pokazatelja procenjenih u okviru oblasti ‘Demokratsko upravljanje’ iznosi </w:t>
      </w:r>
      <w:r>
        <w:rPr>
          <w:rFonts w:cstheme="majorHAnsi"/>
        </w:rPr>
        <w:t>0</w:t>
      </w:r>
      <w:r w:rsidRPr="00764FC3">
        <w:rPr>
          <w:rFonts w:cstheme="majorHAnsi"/>
        </w:rPr>
        <w:t xml:space="preserve"> bodova od ukupno</w:t>
      </w:r>
      <w:r>
        <w:rPr>
          <w:rFonts w:cstheme="majorHAnsi"/>
        </w:rPr>
        <w:t xml:space="preserve"> 40</w:t>
      </w:r>
      <w:r w:rsidRPr="00764FC3">
        <w:rPr>
          <w:rFonts w:cstheme="majorHAnsi"/>
        </w:rPr>
        <w:t xml:space="preserve"> mogućih bodova (</w:t>
      </w:r>
      <w:r>
        <w:rPr>
          <w:rFonts w:cstheme="majorHAnsi"/>
        </w:rPr>
        <w:t>0</w:t>
      </w:r>
      <w:r w:rsidRPr="00764FC3">
        <w:rPr>
          <w:rFonts w:cstheme="majorHAnsi"/>
        </w:rPr>
        <w:t>%).</w:t>
      </w:r>
    </w:p>
    <w:p w14:paraId="47C62CFD" w14:textId="77777777" w:rsidR="00AD3B5B" w:rsidRPr="00764FC3" w:rsidRDefault="00AD3B5B" w:rsidP="00AD3B5B">
      <w:pPr>
        <w:jc w:val="both"/>
        <w:rPr>
          <w:rFonts w:cstheme="majorHAnsi"/>
        </w:rPr>
      </w:pPr>
      <w:r w:rsidRPr="00764FC3">
        <w:rPr>
          <w:rFonts w:cstheme="majorHAnsi"/>
        </w:rPr>
        <w:t xml:space="preserve">Prosečni učinak u 7 pokazatelja procenjenih u okviru oblasti ‘Opštinsko upravljanje’ je </w:t>
      </w:r>
      <w:r>
        <w:rPr>
          <w:rFonts w:cstheme="majorHAnsi"/>
        </w:rPr>
        <w:t>0</w:t>
      </w:r>
      <w:r w:rsidRPr="00764FC3">
        <w:rPr>
          <w:rFonts w:cstheme="majorHAnsi"/>
        </w:rPr>
        <w:t xml:space="preserve"> bodova od ukupno </w:t>
      </w:r>
      <w:r>
        <w:rPr>
          <w:rFonts w:cstheme="majorHAnsi"/>
        </w:rPr>
        <w:t xml:space="preserve">28 </w:t>
      </w:r>
      <w:r w:rsidRPr="00764FC3">
        <w:rPr>
          <w:rFonts w:cstheme="majorHAnsi"/>
        </w:rPr>
        <w:t>mogućih bodova (</w:t>
      </w:r>
      <w:r>
        <w:rPr>
          <w:rFonts w:cstheme="majorHAnsi"/>
        </w:rPr>
        <w:t>0</w:t>
      </w:r>
      <w:r w:rsidRPr="00764FC3">
        <w:rPr>
          <w:rFonts w:cstheme="majorHAnsi"/>
        </w:rPr>
        <w:t>%).</w:t>
      </w:r>
    </w:p>
    <w:p w14:paraId="18B8B8DC" w14:textId="77777777" w:rsidR="00AD3B5B" w:rsidRPr="00764FC3" w:rsidRDefault="00AD3B5B" w:rsidP="00AD3B5B">
      <w:pPr>
        <w:jc w:val="both"/>
        <w:rPr>
          <w:rFonts w:cstheme="majorHAnsi"/>
        </w:rPr>
      </w:pPr>
      <w:r w:rsidRPr="00764FC3">
        <w:rPr>
          <w:rFonts w:cstheme="majorHAnsi"/>
        </w:rPr>
        <w:t xml:space="preserve">Prosečni učinak u </w:t>
      </w:r>
      <w:r>
        <w:rPr>
          <w:rFonts w:cstheme="majorHAnsi"/>
        </w:rPr>
        <w:t>9</w:t>
      </w:r>
      <w:r w:rsidRPr="00764FC3">
        <w:rPr>
          <w:rFonts w:cstheme="majorHAnsi"/>
        </w:rPr>
        <w:t xml:space="preserve"> pokazatelja procenjenih u okviru oblasti ‘Pružanje usluga’ je </w:t>
      </w:r>
      <w:r>
        <w:rPr>
          <w:rFonts w:cstheme="majorHAnsi"/>
        </w:rPr>
        <w:t>0</w:t>
      </w:r>
      <w:r w:rsidRPr="00764FC3">
        <w:rPr>
          <w:rFonts w:cstheme="majorHAnsi"/>
        </w:rPr>
        <w:t xml:space="preserve"> bodova od ukupno </w:t>
      </w:r>
      <w:r>
        <w:rPr>
          <w:rFonts w:cstheme="majorHAnsi"/>
        </w:rPr>
        <w:t>30</w:t>
      </w:r>
      <w:r w:rsidRPr="00764FC3">
        <w:rPr>
          <w:rFonts w:cstheme="majorHAnsi"/>
        </w:rPr>
        <w:t xml:space="preserve"> mogućih bodova (</w:t>
      </w:r>
      <w:r>
        <w:rPr>
          <w:rFonts w:cstheme="majorHAnsi"/>
        </w:rPr>
        <w:t>0</w:t>
      </w:r>
      <w:r w:rsidRPr="00764FC3">
        <w:rPr>
          <w:rFonts w:cstheme="majorHAnsi"/>
        </w:rPr>
        <w:t>%).</w:t>
      </w:r>
    </w:p>
    <w:p w14:paraId="07E0979C" w14:textId="77777777" w:rsidR="00B10745" w:rsidRPr="00764FC3" w:rsidRDefault="00B10745" w:rsidP="00B10745">
      <w:pPr>
        <w:jc w:val="both"/>
        <w:rPr>
          <w:rFonts w:cstheme="majorHAnsi"/>
          <w:lang w:val="hr-HR"/>
        </w:rPr>
      </w:pPr>
    </w:p>
    <w:p w14:paraId="4E24FC8F" w14:textId="77777777" w:rsidR="00B10745" w:rsidRPr="00764FC3" w:rsidRDefault="00B10745" w:rsidP="00B10745"/>
    <w:p w14:paraId="6A69ABA3"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72EA6DC5" w14:textId="0A64D39C"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Lipljan</w:t>
      </w:r>
    </w:p>
    <w:p w14:paraId="26820B70" w14:textId="2E832466" w:rsidR="00B10745" w:rsidRPr="00764FC3" w:rsidRDefault="00B10745" w:rsidP="00B10745">
      <w:pPr>
        <w:rPr>
          <w:b/>
        </w:rPr>
      </w:pPr>
      <w:r w:rsidRPr="00764FC3">
        <w:rPr>
          <w:b/>
        </w:rPr>
        <w:t xml:space="preserve">Procena minimalnih uslova za </w:t>
      </w:r>
      <w:r w:rsidR="00F41E1B">
        <w:rPr>
          <w:b/>
        </w:rPr>
        <w:t>2024</w:t>
      </w:r>
      <w:r w:rsidRPr="00764FC3">
        <w:rPr>
          <w:b/>
        </w:rPr>
        <w:t>. godinu</w:t>
      </w:r>
    </w:p>
    <w:p w14:paraId="65FD9EAD" w14:textId="7AFB511A" w:rsidR="00B10745" w:rsidRPr="00AD3B5B" w:rsidRDefault="00AD3B5B" w:rsidP="00B10745">
      <w:pPr>
        <w:jc w:val="both"/>
        <w:rPr>
          <w:rFonts w:cstheme="majorHAnsi"/>
          <w:lang w:val="sr-Latn-RS"/>
        </w:rPr>
      </w:pPr>
      <w:r>
        <w:rPr>
          <w:noProof/>
          <w:lang w:val="en-GB" w:eastAsia="en-GB"/>
          <w14:ligatures w14:val="standardContextual"/>
        </w:rPr>
        <w:drawing>
          <wp:anchor distT="0" distB="0" distL="114300" distR="114300" simplePos="0" relativeHeight="251843584" behindDoc="0" locked="0" layoutInCell="1" allowOverlap="1" wp14:anchorId="771052E4" wp14:editId="6FC39492">
            <wp:simplePos x="0" y="0"/>
            <wp:positionH relativeFrom="column">
              <wp:posOffset>1981200</wp:posOffset>
            </wp:positionH>
            <wp:positionV relativeFrom="paragraph">
              <wp:posOffset>85725</wp:posOffset>
            </wp:positionV>
            <wp:extent cx="3840480" cy="2257200"/>
            <wp:effectExtent l="0" t="0" r="7620" b="10160"/>
            <wp:wrapSquare wrapText="bothSides"/>
            <wp:docPr id="55" name="Chart 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V relativeFrom="margin">
              <wp14:pctHeight>0</wp14:pctHeight>
            </wp14:sizeRelV>
          </wp:anchor>
        </w:drawing>
      </w:r>
      <w:r w:rsidR="00B10745" w:rsidRPr="00764FC3">
        <w:rPr>
          <w:rFonts w:cstheme="majorHAnsi"/>
        </w:rPr>
        <w:t xml:space="preserve">Opština Lipljan se </w:t>
      </w:r>
      <w:r>
        <w:rPr>
          <w:rFonts w:cstheme="majorHAnsi"/>
        </w:rPr>
        <w:t xml:space="preserve">nije </w:t>
      </w:r>
      <w:r w:rsidR="00B10745" w:rsidRPr="00764FC3">
        <w:rPr>
          <w:rFonts w:cstheme="majorHAnsi"/>
        </w:rPr>
        <w:t xml:space="preserve">kvalifikovala </w:t>
      </w:r>
      <w:r w:rsidR="0043579A" w:rsidRPr="00764FC3">
        <w:rPr>
          <w:rFonts w:cstheme="majorHAnsi"/>
          <w:lang w:val="sr-Latn-RS"/>
        </w:rPr>
        <w:t>za grant za opštinski učinak za 202</w:t>
      </w:r>
      <w:r>
        <w:rPr>
          <w:rFonts w:cstheme="majorHAnsi"/>
          <w:lang w:val="sr-Latn-RS"/>
        </w:rPr>
        <w:t>6</w:t>
      </w:r>
      <w:r w:rsidR="0043579A" w:rsidRPr="00764FC3">
        <w:rPr>
          <w:rFonts w:cstheme="majorHAnsi"/>
          <w:lang w:val="sr-Latn-RS"/>
        </w:rPr>
        <w:t xml:space="preserve">. godinu, na osnovu učinka za </w:t>
      </w:r>
      <w:r w:rsidR="00F41E1B">
        <w:rPr>
          <w:rFonts w:cstheme="majorHAnsi"/>
          <w:lang w:val="sr-Latn-RS"/>
        </w:rPr>
        <w:t>2024</w:t>
      </w:r>
      <w:r w:rsidR="0043579A" w:rsidRPr="00764FC3">
        <w:rPr>
          <w:rFonts w:cstheme="majorHAnsi"/>
          <w:lang w:val="sr-Latn-RS"/>
        </w:rPr>
        <w:t>. godinu.</w:t>
      </w:r>
      <w:r w:rsidR="00BF1640" w:rsidRPr="00764FC3">
        <w:rPr>
          <w:rFonts w:cstheme="majorHAnsi"/>
          <w:noProof/>
          <w:lang w:val="en-US"/>
        </w:rPr>
        <w:t xml:space="preserve"> </w:t>
      </w:r>
    </w:p>
    <w:p w14:paraId="2FD2C4CE" w14:textId="77777777" w:rsidR="00AD3B5B" w:rsidRPr="00764FC3" w:rsidRDefault="00AD3B5B" w:rsidP="00AD3B5B">
      <w:pPr>
        <w:jc w:val="both"/>
        <w:rPr>
          <w:rFonts w:cstheme="majorHAnsi"/>
          <w:lang w:val="sr-Latn-RS"/>
        </w:rPr>
      </w:pPr>
      <w:r>
        <w:rPr>
          <w:rFonts w:cstheme="majorHAnsi"/>
        </w:rPr>
        <w:t xml:space="preserve">Minimalni uslov </w:t>
      </w:r>
      <w:r w:rsidRPr="00764FC3">
        <w:rPr>
          <w:rFonts w:cstheme="majorHAnsi"/>
        </w:rPr>
        <w:t>broj 3 (revizorsko mišljenje mora biti najmanje nemodifikovano sa akcentom na to pitanje)</w:t>
      </w:r>
      <w:r>
        <w:rPr>
          <w:rFonts w:cstheme="majorHAnsi"/>
        </w:rPr>
        <w:t>, nije ispunjen.</w:t>
      </w:r>
    </w:p>
    <w:p w14:paraId="727E5306" w14:textId="77777777" w:rsidR="00B10745" w:rsidRPr="00764FC3" w:rsidRDefault="00B10745" w:rsidP="00B10745"/>
    <w:p w14:paraId="4B73AC36" w14:textId="77777777" w:rsidR="00B10745" w:rsidRPr="00764FC3" w:rsidRDefault="00B10745" w:rsidP="00B10745"/>
    <w:p w14:paraId="068A24F4" w14:textId="77777777" w:rsidR="00B10745" w:rsidRPr="00764FC3" w:rsidRDefault="00B10745" w:rsidP="00B10745"/>
    <w:p w14:paraId="7CB85EB5" w14:textId="1041E167"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48163D30" w14:textId="76D5BD9A" w:rsidR="00B10745" w:rsidRPr="00764FC3" w:rsidRDefault="00AD3B5B" w:rsidP="00B10745">
      <w:pPr>
        <w:jc w:val="both"/>
        <w:rPr>
          <w:rFonts w:cstheme="majorHAnsi"/>
        </w:rPr>
      </w:pPr>
      <w:r>
        <w:rPr>
          <w:noProof/>
          <w:lang w:val="en-GB" w:eastAsia="en-GB"/>
          <w14:ligatures w14:val="standardContextual"/>
        </w:rPr>
        <w:drawing>
          <wp:anchor distT="0" distB="0" distL="114300" distR="114300" simplePos="0" relativeHeight="251844608" behindDoc="0" locked="0" layoutInCell="1" allowOverlap="1" wp14:anchorId="393DA747" wp14:editId="7E47ABC3">
            <wp:simplePos x="0" y="0"/>
            <wp:positionH relativeFrom="column">
              <wp:posOffset>1981200</wp:posOffset>
            </wp:positionH>
            <wp:positionV relativeFrom="paragraph">
              <wp:posOffset>446405</wp:posOffset>
            </wp:positionV>
            <wp:extent cx="3840480" cy="2743200"/>
            <wp:effectExtent l="0" t="0" r="7620" b="0"/>
            <wp:wrapSquare wrapText="bothSides"/>
            <wp:docPr id="56" name="Chart 5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anchor>
        </w:drawing>
      </w:r>
      <w:r w:rsidR="00B10745" w:rsidRPr="00764FC3">
        <w:rPr>
          <w:rFonts w:cstheme="majorHAnsi"/>
        </w:rPr>
        <w:t xml:space="preserve">Prosečni učinak opštine u </w:t>
      </w:r>
      <w:r>
        <w:rPr>
          <w:rFonts w:cstheme="majorHAnsi"/>
        </w:rPr>
        <w:t>29</w:t>
      </w:r>
      <w:r w:rsidR="00B10745" w:rsidRPr="00764FC3">
        <w:rPr>
          <w:rFonts w:cstheme="majorHAnsi"/>
        </w:rPr>
        <w:t xml:space="preserve"> procenjenih pokazatelja je 7</w:t>
      </w:r>
      <w:r>
        <w:rPr>
          <w:rFonts w:cstheme="majorHAnsi"/>
        </w:rPr>
        <w:t>2</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85.00</w:t>
      </w:r>
      <w:r w:rsidR="00B10745" w:rsidRPr="00764FC3">
        <w:rPr>
          <w:rFonts w:cstheme="majorHAnsi"/>
        </w:rPr>
        <w:t>%).</w:t>
      </w:r>
      <w:r w:rsidR="00B10745" w:rsidRPr="00764FC3">
        <w:t xml:space="preserve"> </w:t>
      </w:r>
    </w:p>
    <w:p w14:paraId="183648F6" w14:textId="3B3C628A" w:rsidR="00B10745" w:rsidRPr="00764FC3" w:rsidRDefault="00B10745" w:rsidP="00B10745">
      <w:pPr>
        <w:jc w:val="both"/>
        <w:rPr>
          <w:rFonts w:cstheme="majorHAnsi"/>
        </w:rPr>
      </w:pPr>
      <w:r w:rsidRPr="00764FC3">
        <w:rPr>
          <w:rFonts w:cstheme="majorHAnsi"/>
        </w:rPr>
        <w:t xml:space="preserve">Prosečni učinak u </w:t>
      </w:r>
      <w:r w:rsidR="00AD3B5B">
        <w:rPr>
          <w:rFonts w:cstheme="majorHAnsi"/>
        </w:rPr>
        <w:t>13</w:t>
      </w:r>
      <w:r w:rsidRPr="00764FC3">
        <w:rPr>
          <w:rFonts w:cstheme="majorHAnsi"/>
        </w:rPr>
        <w:t xml:space="preserve"> pokazatelja procenjenih u okviru oblasti ‘Demokratsko upravljanje’ iznosi 3</w:t>
      </w:r>
      <w:r w:rsidR="00AD3B5B">
        <w:rPr>
          <w:rFonts w:cstheme="majorHAnsi"/>
        </w:rPr>
        <w:t>4</w:t>
      </w:r>
      <w:r w:rsidRPr="00764FC3">
        <w:rPr>
          <w:rFonts w:cstheme="majorHAnsi"/>
        </w:rPr>
        <w:t xml:space="preserve"> bodova od ukupno </w:t>
      </w:r>
      <w:r w:rsidR="00AD3B5B">
        <w:rPr>
          <w:rFonts w:cstheme="majorHAnsi"/>
        </w:rPr>
        <w:t>40</w:t>
      </w:r>
      <w:r w:rsidRPr="00764FC3">
        <w:rPr>
          <w:rFonts w:cstheme="majorHAnsi"/>
        </w:rPr>
        <w:t xml:space="preserve"> mogućih bodova (</w:t>
      </w:r>
      <w:r w:rsidR="00AD3B5B">
        <w:rPr>
          <w:rFonts w:cstheme="majorHAnsi"/>
        </w:rPr>
        <w:t>85.00</w:t>
      </w:r>
      <w:r w:rsidRPr="00764FC3">
        <w:rPr>
          <w:rFonts w:cstheme="majorHAnsi"/>
        </w:rPr>
        <w:t>%).</w:t>
      </w:r>
    </w:p>
    <w:p w14:paraId="7599B5C5" w14:textId="42F2B09A" w:rsidR="00B10745" w:rsidRPr="00764FC3" w:rsidRDefault="00B10745" w:rsidP="00B10745">
      <w:pPr>
        <w:jc w:val="both"/>
        <w:rPr>
          <w:rFonts w:cstheme="majorHAnsi"/>
        </w:rPr>
      </w:pPr>
      <w:r w:rsidRPr="00764FC3">
        <w:rPr>
          <w:rFonts w:cstheme="majorHAnsi"/>
        </w:rPr>
        <w:t>Prosečni učinak u 7 pokazatelja procenjenih u okviru oblasti ‘Opštinsko upravljanje’ je 1</w:t>
      </w:r>
      <w:r w:rsidR="00AD3B5B">
        <w:rPr>
          <w:rFonts w:cstheme="majorHAnsi"/>
        </w:rPr>
        <w:t>4</w:t>
      </w:r>
      <w:r w:rsidRPr="00764FC3">
        <w:rPr>
          <w:rFonts w:cstheme="majorHAnsi"/>
        </w:rPr>
        <w:t xml:space="preserve"> bodova od ukupno 2</w:t>
      </w:r>
      <w:r w:rsidR="00AD3B5B">
        <w:rPr>
          <w:rFonts w:cstheme="majorHAnsi"/>
        </w:rPr>
        <w:t>8</w:t>
      </w:r>
      <w:r w:rsidRPr="00764FC3">
        <w:rPr>
          <w:rFonts w:cstheme="majorHAnsi"/>
        </w:rPr>
        <w:t xml:space="preserve"> mogućih bodova (</w:t>
      </w:r>
      <w:r w:rsidR="00AD3B5B">
        <w:rPr>
          <w:rFonts w:cstheme="majorHAnsi"/>
        </w:rPr>
        <w:t>50.00</w:t>
      </w:r>
      <w:r w:rsidRPr="00764FC3">
        <w:rPr>
          <w:rFonts w:cstheme="majorHAnsi"/>
        </w:rPr>
        <w:t>%).</w:t>
      </w:r>
    </w:p>
    <w:p w14:paraId="24DF2D72" w14:textId="3C40B9A1" w:rsidR="00B10745" w:rsidRPr="00764FC3" w:rsidRDefault="00B10745" w:rsidP="00B10745">
      <w:pPr>
        <w:jc w:val="both"/>
        <w:rPr>
          <w:rFonts w:cstheme="majorHAnsi"/>
        </w:rPr>
      </w:pPr>
      <w:r w:rsidRPr="00764FC3">
        <w:rPr>
          <w:rFonts w:cstheme="majorHAnsi"/>
        </w:rPr>
        <w:t xml:space="preserve">Prosečni učinak u </w:t>
      </w:r>
      <w:r w:rsidR="00AD3B5B">
        <w:rPr>
          <w:rFonts w:cstheme="majorHAnsi"/>
        </w:rPr>
        <w:t>9</w:t>
      </w:r>
      <w:r w:rsidRPr="00764FC3">
        <w:rPr>
          <w:rFonts w:cstheme="majorHAnsi"/>
        </w:rPr>
        <w:t xml:space="preserve"> pokazatelja procenjenih u okviru oblasti ‘Pružanje usluga’ je 2</w:t>
      </w:r>
      <w:r w:rsidR="00AD3B5B">
        <w:rPr>
          <w:rFonts w:cstheme="majorHAnsi"/>
        </w:rPr>
        <w:t>4</w:t>
      </w:r>
      <w:r w:rsidRPr="00764FC3">
        <w:rPr>
          <w:rFonts w:cstheme="majorHAnsi"/>
        </w:rPr>
        <w:t xml:space="preserve"> bodova od ukupno </w:t>
      </w:r>
      <w:r w:rsidR="00AD3B5B">
        <w:rPr>
          <w:rFonts w:cstheme="majorHAnsi"/>
        </w:rPr>
        <w:t>30</w:t>
      </w:r>
      <w:r w:rsidRPr="00764FC3">
        <w:rPr>
          <w:rFonts w:cstheme="majorHAnsi"/>
        </w:rPr>
        <w:t xml:space="preserve"> mogućih bodova (</w:t>
      </w:r>
      <w:r w:rsidR="00AD3B5B">
        <w:rPr>
          <w:rFonts w:cstheme="majorHAnsi"/>
        </w:rPr>
        <w:t>80.00</w:t>
      </w:r>
      <w:r w:rsidRPr="00764FC3">
        <w:rPr>
          <w:rFonts w:cstheme="majorHAnsi"/>
        </w:rPr>
        <w:t>%).</w:t>
      </w:r>
    </w:p>
    <w:p w14:paraId="20DF3107" w14:textId="77777777" w:rsidR="00B10745" w:rsidRPr="00764FC3" w:rsidRDefault="00B10745" w:rsidP="00B10745"/>
    <w:p w14:paraId="21B70ACE"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06264E04" w14:textId="3A9E3A25"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Mališevo</w:t>
      </w:r>
    </w:p>
    <w:p w14:paraId="068BA661" w14:textId="244BEADC" w:rsidR="00B10745" w:rsidRPr="00803579" w:rsidRDefault="00AD3B5B" w:rsidP="00B10745">
      <w:pPr>
        <w:rPr>
          <w:rFonts w:cstheme="majorHAnsi"/>
          <w:b/>
          <w:bCs/>
        </w:rPr>
      </w:pPr>
      <w:r w:rsidRPr="00964F1C">
        <w:rPr>
          <w:noProof/>
          <w:color w:val="00B050"/>
          <w:lang w:val="en-GB" w:eastAsia="en-GB"/>
          <w14:ligatures w14:val="standardContextual"/>
        </w:rPr>
        <w:drawing>
          <wp:anchor distT="0" distB="0" distL="114300" distR="114300" simplePos="0" relativeHeight="251845632" behindDoc="0" locked="0" layoutInCell="1" allowOverlap="1" wp14:anchorId="1CE9D644" wp14:editId="63AE8852">
            <wp:simplePos x="0" y="0"/>
            <wp:positionH relativeFrom="column">
              <wp:posOffset>2038350</wp:posOffset>
            </wp:positionH>
            <wp:positionV relativeFrom="paragraph">
              <wp:posOffset>285750</wp:posOffset>
            </wp:positionV>
            <wp:extent cx="3840480" cy="2257200"/>
            <wp:effectExtent l="0" t="0" r="7620" b="10160"/>
            <wp:wrapSquare wrapText="bothSides"/>
            <wp:docPr id="57" name="Chart 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V relativeFrom="margin">
              <wp14:pctHeight>0</wp14:pctHeight>
            </wp14:sizeRelV>
          </wp:anchor>
        </w:drawing>
      </w:r>
      <w:r w:rsidR="00803579" w:rsidRPr="00803579">
        <w:rPr>
          <w:rFonts w:cstheme="majorHAnsi"/>
          <w:b/>
          <w:bCs/>
        </w:rPr>
        <w:t xml:space="preserve"> </w:t>
      </w:r>
      <w:r w:rsidR="00803579" w:rsidRPr="00764FC3">
        <w:rPr>
          <w:rFonts w:cstheme="majorHAnsi"/>
          <w:b/>
          <w:bCs/>
        </w:rPr>
        <w:t xml:space="preserve">Procena minimalnih uslova za </w:t>
      </w:r>
      <w:r w:rsidR="00803579">
        <w:rPr>
          <w:rFonts w:cstheme="majorHAnsi"/>
          <w:b/>
          <w:bCs/>
        </w:rPr>
        <w:t>2024</w:t>
      </w:r>
      <w:r w:rsidR="00803579" w:rsidRPr="00764FC3">
        <w:rPr>
          <w:rFonts w:cstheme="majorHAnsi"/>
          <w:b/>
          <w:bCs/>
        </w:rPr>
        <w:t>. godinu</w:t>
      </w:r>
    </w:p>
    <w:p w14:paraId="367A902F" w14:textId="0DABC3E5" w:rsidR="00B10745" w:rsidRPr="00AD3B5B" w:rsidRDefault="00B10745" w:rsidP="00B10745">
      <w:pPr>
        <w:jc w:val="both"/>
        <w:rPr>
          <w:rFonts w:cstheme="majorHAnsi"/>
          <w:lang w:val="sr-Latn-RS"/>
        </w:rPr>
      </w:pPr>
      <w:r w:rsidRPr="00764FC3">
        <w:rPr>
          <w:rFonts w:cstheme="majorHAnsi"/>
        </w:rPr>
        <w:t xml:space="preserve">Opština Mališevo se nije kvalifikovala </w:t>
      </w:r>
      <w:r w:rsidR="0043579A" w:rsidRPr="00764FC3">
        <w:rPr>
          <w:rFonts w:cstheme="majorHAnsi"/>
          <w:lang w:val="sr-Latn-RS"/>
        </w:rPr>
        <w:t>za grant za opštinski učinak za 202</w:t>
      </w:r>
      <w:r w:rsidR="00AD3B5B">
        <w:rPr>
          <w:rFonts w:cstheme="majorHAnsi"/>
          <w:lang w:val="sr-Latn-RS"/>
        </w:rPr>
        <w:t>6</w:t>
      </w:r>
      <w:r w:rsidR="0043579A" w:rsidRPr="00764FC3">
        <w:rPr>
          <w:rFonts w:cstheme="majorHAnsi"/>
          <w:lang w:val="sr-Latn-RS"/>
        </w:rPr>
        <w:t xml:space="preserve">. godinu, na osnovu učinka za </w:t>
      </w:r>
      <w:r w:rsidR="00F41E1B">
        <w:rPr>
          <w:rFonts w:cstheme="majorHAnsi"/>
          <w:lang w:val="sr-Latn-RS"/>
        </w:rPr>
        <w:t>2024</w:t>
      </w:r>
      <w:r w:rsidR="0043579A" w:rsidRPr="00764FC3">
        <w:rPr>
          <w:rFonts w:cstheme="majorHAnsi"/>
          <w:lang w:val="sr-Latn-RS"/>
        </w:rPr>
        <w:t>. godinu.</w:t>
      </w:r>
    </w:p>
    <w:p w14:paraId="16FA36B7" w14:textId="77777777" w:rsidR="00B10745" w:rsidRPr="00764FC3" w:rsidRDefault="00B10745" w:rsidP="00B10745">
      <w:pPr>
        <w:jc w:val="both"/>
        <w:rPr>
          <w:rFonts w:cstheme="majorHAnsi"/>
        </w:rPr>
      </w:pPr>
      <w:r w:rsidRPr="00764FC3">
        <w:rPr>
          <w:rFonts w:cstheme="majorHAnsi"/>
        </w:rPr>
        <w:t>Minimalni uslov broj 3 (revizorsko mišljenje mora biti najmanje nemodifikovano sa isticanjem materije) nije ispunjen.</w:t>
      </w:r>
      <w:r w:rsidRPr="00764FC3" w:rsidDel="00785497">
        <w:rPr>
          <w:rFonts w:cstheme="majorHAnsi"/>
        </w:rPr>
        <w:t xml:space="preserve"> </w:t>
      </w:r>
    </w:p>
    <w:p w14:paraId="1811C394" w14:textId="77777777" w:rsidR="00B10745" w:rsidRPr="00764FC3" w:rsidRDefault="00B10745" w:rsidP="00B10745">
      <w:pPr>
        <w:tabs>
          <w:tab w:val="left" w:pos="1190"/>
        </w:tabs>
      </w:pPr>
    </w:p>
    <w:p w14:paraId="7C88C7F9" w14:textId="77777777" w:rsidR="00B10745" w:rsidRPr="00764FC3" w:rsidRDefault="00B10745" w:rsidP="00B10745">
      <w:pPr>
        <w:tabs>
          <w:tab w:val="left" w:pos="1190"/>
        </w:tabs>
      </w:pPr>
    </w:p>
    <w:p w14:paraId="0C7D0F65" w14:textId="77777777" w:rsidR="00B10745" w:rsidRPr="00764FC3" w:rsidRDefault="00B10745" w:rsidP="00B10745">
      <w:pPr>
        <w:tabs>
          <w:tab w:val="left" w:pos="1190"/>
        </w:tabs>
      </w:pPr>
    </w:p>
    <w:p w14:paraId="34C456CE" w14:textId="254ABE3B"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6B42F0C1" w14:textId="4905819F" w:rsidR="00B10745" w:rsidRPr="00764FC3" w:rsidRDefault="00AD3B5B" w:rsidP="00B10745">
      <w:pPr>
        <w:jc w:val="both"/>
        <w:rPr>
          <w:rFonts w:cstheme="majorHAnsi"/>
        </w:rPr>
      </w:pPr>
      <w:r>
        <w:rPr>
          <w:noProof/>
          <w:lang w:val="en-GB" w:eastAsia="en-GB"/>
          <w14:ligatures w14:val="standardContextual"/>
        </w:rPr>
        <w:drawing>
          <wp:anchor distT="0" distB="0" distL="114300" distR="114300" simplePos="0" relativeHeight="251846656" behindDoc="0" locked="0" layoutInCell="1" allowOverlap="1" wp14:anchorId="5833826A" wp14:editId="25178873">
            <wp:simplePos x="0" y="0"/>
            <wp:positionH relativeFrom="column">
              <wp:posOffset>2038350</wp:posOffset>
            </wp:positionH>
            <wp:positionV relativeFrom="paragraph">
              <wp:posOffset>249555</wp:posOffset>
            </wp:positionV>
            <wp:extent cx="3840480" cy="2743200"/>
            <wp:effectExtent l="0" t="0" r="7620" b="0"/>
            <wp:wrapSquare wrapText="bothSides"/>
            <wp:docPr id="58" name="Chart 5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r w:rsidR="00B10745" w:rsidRPr="00764FC3">
        <w:rPr>
          <w:rFonts w:cstheme="majorHAnsi"/>
        </w:rPr>
        <w:t>Prosečni učinak opštine Mališevo u 2</w:t>
      </w:r>
      <w:r>
        <w:rPr>
          <w:rFonts w:cstheme="majorHAnsi"/>
        </w:rPr>
        <w:t>9</w:t>
      </w:r>
      <w:r w:rsidR="00B10745" w:rsidRPr="00764FC3">
        <w:rPr>
          <w:rFonts w:cstheme="majorHAnsi"/>
        </w:rPr>
        <w:t xml:space="preserve"> procenjenih pokazatelja je </w:t>
      </w:r>
      <w:r>
        <w:rPr>
          <w:rFonts w:cstheme="majorHAnsi"/>
        </w:rPr>
        <w:t>26</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26.53</w:t>
      </w:r>
      <w:r w:rsidR="00B10745" w:rsidRPr="00764FC3">
        <w:rPr>
          <w:rFonts w:cstheme="majorHAnsi"/>
        </w:rPr>
        <w:t>%).</w:t>
      </w:r>
      <w:r w:rsidR="00B10745" w:rsidRPr="00764FC3">
        <w:t xml:space="preserve"> </w:t>
      </w:r>
    </w:p>
    <w:p w14:paraId="021B06BE" w14:textId="6BD0859D" w:rsidR="00B10745" w:rsidRPr="00764FC3" w:rsidRDefault="00B10745" w:rsidP="00B10745">
      <w:pPr>
        <w:jc w:val="both"/>
        <w:rPr>
          <w:rFonts w:cstheme="majorHAnsi"/>
        </w:rPr>
      </w:pPr>
      <w:r w:rsidRPr="00764FC3">
        <w:rPr>
          <w:rFonts w:cstheme="majorHAnsi"/>
        </w:rPr>
        <w:t xml:space="preserve">Prosečni učinak u </w:t>
      </w:r>
      <w:r w:rsidR="00AD3B5B">
        <w:rPr>
          <w:rFonts w:cstheme="majorHAnsi"/>
        </w:rPr>
        <w:t>13</w:t>
      </w:r>
      <w:r w:rsidRPr="00764FC3">
        <w:rPr>
          <w:rFonts w:cstheme="majorHAnsi"/>
        </w:rPr>
        <w:t xml:space="preserve"> pokazatelja procenjenih u okviru oblasti ‘Demokratsko upravljanje’ iznosi </w:t>
      </w:r>
      <w:r w:rsidR="00AD3B5B">
        <w:rPr>
          <w:rFonts w:cstheme="majorHAnsi"/>
        </w:rPr>
        <w:t>13</w:t>
      </w:r>
      <w:r w:rsidRPr="00764FC3">
        <w:rPr>
          <w:rFonts w:cstheme="majorHAnsi"/>
        </w:rPr>
        <w:t xml:space="preserve"> bodova od ukupno </w:t>
      </w:r>
      <w:r w:rsidR="00AD3B5B">
        <w:rPr>
          <w:rFonts w:cstheme="majorHAnsi"/>
        </w:rPr>
        <w:t>40</w:t>
      </w:r>
      <w:r w:rsidRPr="00764FC3">
        <w:rPr>
          <w:rFonts w:cstheme="majorHAnsi"/>
        </w:rPr>
        <w:t xml:space="preserve"> mogućih bodova (</w:t>
      </w:r>
      <w:r w:rsidR="00AD3B5B">
        <w:rPr>
          <w:rFonts w:cstheme="majorHAnsi"/>
        </w:rPr>
        <w:t>32.50</w:t>
      </w:r>
      <w:r w:rsidRPr="00764FC3">
        <w:rPr>
          <w:rFonts w:cstheme="majorHAnsi"/>
        </w:rPr>
        <w:t>%).</w:t>
      </w:r>
    </w:p>
    <w:p w14:paraId="61DE466B" w14:textId="79E8B922"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AD3B5B">
        <w:rPr>
          <w:rFonts w:cstheme="majorHAnsi"/>
        </w:rPr>
        <w:t>5</w:t>
      </w:r>
      <w:r w:rsidRPr="00764FC3">
        <w:rPr>
          <w:rFonts w:cstheme="majorHAnsi"/>
        </w:rPr>
        <w:t xml:space="preserve"> bodova od ukupno 2</w:t>
      </w:r>
      <w:r w:rsidR="00AD3B5B">
        <w:rPr>
          <w:rFonts w:cstheme="majorHAnsi"/>
        </w:rPr>
        <w:t>8</w:t>
      </w:r>
      <w:r w:rsidRPr="00764FC3">
        <w:rPr>
          <w:rFonts w:cstheme="majorHAnsi"/>
        </w:rPr>
        <w:t xml:space="preserve"> mogućih bodova (</w:t>
      </w:r>
      <w:r w:rsidR="00AD3B5B">
        <w:rPr>
          <w:rFonts w:cstheme="majorHAnsi"/>
        </w:rPr>
        <w:t>17.86</w:t>
      </w:r>
      <w:r w:rsidRPr="00764FC3">
        <w:rPr>
          <w:rFonts w:cstheme="majorHAnsi"/>
        </w:rPr>
        <w:t>%).</w:t>
      </w:r>
    </w:p>
    <w:p w14:paraId="274054D6" w14:textId="23EE581A" w:rsidR="00B10745" w:rsidRPr="00764FC3" w:rsidRDefault="00B10745" w:rsidP="00B10745">
      <w:pPr>
        <w:jc w:val="both"/>
        <w:rPr>
          <w:rFonts w:cstheme="majorHAnsi"/>
        </w:rPr>
      </w:pPr>
      <w:r w:rsidRPr="00764FC3">
        <w:rPr>
          <w:rFonts w:cstheme="majorHAnsi"/>
        </w:rPr>
        <w:t xml:space="preserve">Prosečni učinak u </w:t>
      </w:r>
      <w:r w:rsidR="00AD3B5B">
        <w:rPr>
          <w:rFonts w:cstheme="majorHAnsi"/>
        </w:rPr>
        <w:t>9</w:t>
      </w:r>
      <w:r w:rsidRPr="00764FC3">
        <w:rPr>
          <w:rFonts w:cstheme="majorHAnsi"/>
        </w:rPr>
        <w:t xml:space="preserve"> pokazatelja procenjenih u okviru oblasti ‘Pružanje usluga’ je </w:t>
      </w:r>
      <w:r w:rsidR="00AD3B5B">
        <w:rPr>
          <w:rFonts w:cstheme="majorHAnsi"/>
        </w:rPr>
        <w:t>8</w:t>
      </w:r>
      <w:r w:rsidRPr="00764FC3">
        <w:rPr>
          <w:rFonts w:cstheme="majorHAnsi"/>
        </w:rPr>
        <w:t xml:space="preserve"> bodova od ukupno </w:t>
      </w:r>
      <w:r w:rsidR="00803579">
        <w:rPr>
          <w:rFonts w:cstheme="majorHAnsi"/>
        </w:rPr>
        <w:t>30</w:t>
      </w:r>
      <w:r w:rsidRPr="00764FC3">
        <w:rPr>
          <w:rFonts w:cstheme="majorHAnsi"/>
        </w:rPr>
        <w:t xml:space="preserve"> mogućih bodova (</w:t>
      </w:r>
      <w:r w:rsidR="00803579">
        <w:rPr>
          <w:rFonts w:cstheme="majorHAnsi"/>
        </w:rPr>
        <w:t>26.67</w:t>
      </w:r>
      <w:r w:rsidRPr="00764FC3">
        <w:rPr>
          <w:rFonts w:cstheme="majorHAnsi"/>
        </w:rPr>
        <w:t>%).</w:t>
      </w:r>
    </w:p>
    <w:p w14:paraId="5B5536BD"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6F21E0D3" w14:textId="73797020"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Mamuša</w:t>
      </w:r>
    </w:p>
    <w:p w14:paraId="5497C3D2" w14:textId="77777777" w:rsidR="00803579" w:rsidRPr="00764FC3" w:rsidRDefault="00803579" w:rsidP="00803579">
      <w:pPr>
        <w:rPr>
          <w:rFonts w:cstheme="majorHAnsi"/>
          <w:b/>
          <w:bCs/>
        </w:rPr>
      </w:pPr>
      <w:r w:rsidRPr="00764FC3">
        <w:rPr>
          <w:rFonts w:cstheme="majorHAnsi"/>
          <w:b/>
          <w:bCs/>
        </w:rPr>
        <w:t xml:space="preserve">Procena minimalnih uslova za </w:t>
      </w:r>
      <w:r>
        <w:rPr>
          <w:rFonts w:cstheme="majorHAnsi"/>
          <w:b/>
          <w:bCs/>
        </w:rPr>
        <w:t>2024</w:t>
      </w:r>
      <w:r w:rsidRPr="00764FC3">
        <w:rPr>
          <w:rFonts w:cstheme="majorHAnsi"/>
          <w:b/>
          <w:bCs/>
        </w:rPr>
        <w:t>. godinu</w:t>
      </w:r>
    </w:p>
    <w:p w14:paraId="3716801D" w14:textId="17258E3E" w:rsidR="0043579A" w:rsidRPr="00764FC3" w:rsidRDefault="00B839DD" w:rsidP="0043579A">
      <w:pPr>
        <w:jc w:val="both"/>
        <w:rPr>
          <w:rFonts w:cstheme="majorHAnsi"/>
          <w:lang w:val="sr-Latn-RS"/>
        </w:rPr>
      </w:pPr>
      <w:r w:rsidRPr="00764FC3">
        <w:rPr>
          <w:rFonts w:cstheme="majorHAnsi"/>
          <w:noProof/>
          <w:lang w:val="en-GB" w:eastAsia="en-GB"/>
        </w:rPr>
        <w:drawing>
          <wp:anchor distT="0" distB="0" distL="114300" distR="114300" simplePos="0" relativeHeight="251731968" behindDoc="1" locked="0" layoutInCell="1" allowOverlap="1" wp14:anchorId="0BA15C5C" wp14:editId="39B094C5">
            <wp:simplePos x="0" y="0"/>
            <wp:positionH relativeFrom="margin">
              <wp:posOffset>2026920</wp:posOffset>
            </wp:positionH>
            <wp:positionV relativeFrom="margin">
              <wp:posOffset>617220</wp:posOffset>
            </wp:positionV>
            <wp:extent cx="3803015" cy="2438400"/>
            <wp:effectExtent l="0" t="0" r="6985" b="0"/>
            <wp:wrapSquare wrapText="bothSides"/>
            <wp:docPr id="1081546611" name="Chart 10815466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2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14:sizeRelH relativeFrom="margin">
              <wp14:pctWidth>0</wp14:pctWidth>
            </wp14:sizeRelH>
            <wp14:sizeRelV relativeFrom="margin">
              <wp14:pctHeight>0</wp14:pctHeight>
            </wp14:sizeRelV>
          </wp:anchor>
        </w:drawing>
      </w:r>
      <w:r w:rsidR="00B10745" w:rsidRPr="00764FC3">
        <w:rPr>
          <w:rFonts w:cstheme="majorHAnsi"/>
        </w:rPr>
        <w:t xml:space="preserve">Opština Mamuša se nije kvalifikovala </w:t>
      </w:r>
      <w:r w:rsidR="0043579A" w:rsidRPr="00764FC3">
        <w:rPr>
          <w:rFonts w:cstheme="majorHAnsi"/>
          <w:lang w:val="sr-Latn-RS"/>
        </w:rPr>
        <w:t>za grant za opštinski učinak za 202</w:t>
      </w:r>
      <w:r w:rsidR="00803579">
        <w:rPr>
          <w:rFonts w:cstheme="majorHAnsi"/>
          <w:lang w:val="sr-Latn-RS"/>
        </w:rPr>
        <w:t>6</w:t>
      </w:r>
      <w:r w:rsidR="0043579A" w:rsidRPr="00764FC3">
        <w:rPr>
          <w:rFonts w:cstheme="majorHAnsi"/>
          <w:lang w:val="sr-Latn-RS"/>
        </w:rPr>
        <w:t xml:space="preserve">. godinu, na osnovu učinka za </w:t>
      </w:r>
      <w:r w:rsidR="00F41E1B">
        <w:rPr>
          <w:rFonts w:cstheme="majorHAnsi"/>
          <w:lang w:val="sr-Latn-RS"/>
        </w:rPr>
        <w:t>2024</w:t>
      </w:r>
      <w:r w:rsidR="0043579A" w:rsidRPr="00764FC3">
        <w:rPr>
          <w:rFonts w:cstheme="majorHAnsi"/>
          <w:lang w:val="sr-Latn-RS"/>
        </w:rPr>
        <w:t>. godinu.</w:t>
      </w:r>
      <w:r w:rsidRPr="00764FC3">
        <w:rPr>
          <w:rFonts w:cstheme="majorHAnsi"/>
          <w:noProof/>
          <w:lang w:val="en-US"/>
        </w:rPr>
        <w:t xml:space="preserve"> </w:t>
      </w:r>
    </w:p>
    <w:p w14:paraId="265F8C87" w14:textId="753DAC74" w:rsidR="00B10745" w:rsidRPr="00764FC3" w:rsidRDefault="00B10745" w:rsidP="00B10745">
      <w:pPr>
        <w:jc w:val="both"/>
        <w:rPr>
          <w:rFonts w:cstheme="majorHAnsi"/>
        </w:rPr>
      </w:pPr>
      <w:r w:rsidRPr="00764FC3">
        <w:rPr>
          <w:rFonts w:cstheme="majorHAnsi"/>
        </w:rPr>
        <w:t>Opština je ispunila sva četiri minimalna uslova.</w:t>
      </w:r>
    </w:p>
    <w:p w14:paraId="3A9EEC3D" w14:textId="77777777" w:rsidR="00B10745" w:rsidRPr="00764FC3" w:rsidRDefault="00B10745" w:rsidP="00B10745">
      <w:pPr>
        <w:jc w:val="both"/>
      </w:pPr>
    </w:p>
    <w:p w14:paraId="7DD9A7CA" w14:textId="77777777" w:rsidR="00B10745" w:rsidRPr="00764FC3" w:rsidRDefault="00B10745" w:rsidP="00B10745">
      <w:pPr>
        <w:jc w:val="both"/>
      </w:pPr>
    </w:p>
    <w:p w14:paraId="2206E31A" w14:textId="77777777" w:rsidR="00B10745" w:rsidRPr="00764FC3" w:rsidRDefault="00B10745" w:rsidP="00B10745">
      <w:pPr>
        <w:jc w:val="both"/>
      </w:pPr>
    </w:p>
    <w:p w14:paraId="7D431384" w14:textId="77777777" w:rsidR="00B10745" w:rsidRPr="00764FC3" w:rsidRDefault="00B10745" w:rsidP="00B10745"/>
    <w:p w14:paraId="483B3B45" w14:textId="77777777" w:rsidR="00B839DD" w:rsidRPr="00764FC3" w:rsidRDefault="00B839DD" w:rsidP="00B10745"/>
    <w:p w14:paraId="11509C34" w14:textId="733C13DC"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5C852412" w14:textId="58BC5FF2" w:rsidR="00B10745" w:rsidRPr="00764FC3" w:rsidRDefault="00803579" w:rsidP="00B10745">
      <w:pPr>
        <w:jc w:val="both"/>
        <w:rPr>
          <w:rFonts w:cstheme="majorHAnsi"/>
        </w:rPr>
      </w:pPr>
      <w:r>
        <w:rPr>
          <w:noProof/>
          <w:lang w:val="en-GB" w:eastAsia="en-GB"/>
          <w14:ligatures w14:val="standardContextual"/>
        </w:rPr>
        <w:drawing>
          <wp:anchor distT="0" distB="0" distL="114300" distR="114300" simplePos="0" relativeHeight="251847680" behindDoc="0" locked="0" layoutInCell="1" allowOverlap="1" wp14:anchorId="14DF3D59" wp14:editId="51381C5C">
            <wp:simplePos x="0" y="0"/>
            <wp:positionH relativeFrom="column">
              <wp:posOffset>1991360</wp:posOffset>
            </wp:positionH>
            <wp:positionV relativeFrom="paragraph">
              <wp:posOffset>265430</wp:posOffset>
            </wp:positionV>
            <wp:extent cx="3840480" cy="2743200"/>
            <wp:effectExtent l="0" t="0" r="7620" b="0"/>
            <wp:wrapSquare wrapText="bothSides"/>
            <wp:docPr id="59" name="Chart 5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anchor>
        </w:drawing>
      </w:r>
      <w:r w:rsidR="00B10745" w:rsidRPr="00764FC3">
        <w:rPr>
          <w:rFonts w:cstheme="majorHAnsi"/>
        </w:rPr>
        <w:t xml:space="preserve">Prosečni učinak opštine Mamuša u </w:t>
      </w:r>
      <w:r>
        <w:rPr>
          <w:rFonts w:cstheme="majorHAnsi"/>
        </w:rPr>
        <w:t>29</w:t>
      </w:r>
      <w:r w:rsidR="00B10745" w:rsidRPr="00764FC3">
        <w:rPr>
          <w:rFonts w:cstheme="majorHAnsi"/>
        </w:rPr>
        <w:t xml:space="preserve"> procenjenih pokazatelja je 2</w:t>
      </w:r>
      <w:r>
        <w:rPr>
          <w:rFonts w:cstheme="majorHAnsi"/>
        </w:rPr>
        <w:t>6</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26.53</w:t>
      </w:r>
      <w:r w:rsidR="00B10745" w:rsidRPr="00764FC3">
        <w:rPr>
          <w:rFonts w:cstheme="majorHAnsi"/>
        </w:rPr>
        <w:t>%).</w:t>
      </w:r>
      <w:r w:rsidR="00B10745" w:rsidRPr="00764FC3">
        <w:t xml:space="preserve"> </w:t>
      </w:r>
    </w:p>
    <w:p w14:paraId="7AC5B4AE" w14:textId="6C7CBCB7" w:rsidR="00B10745" w:rsidRPr="00764FC3" w:rsidRDefault="00B10745" w:rsidP="00B10745">
      <w:pPr>
        <w:jc w:val="both"/>
        <w:rPr>
          <w:rFonts w:cstheme="majorHAnsi"/>
        </w:rPr>
      </w:pPr>
      <w:r w:rsidRPr="00764FC3">
        <w:rPr>
          <w:rFonts w:cstheme="majorHAnsi"/>
        </w:rPr>
        <w:t>Prosečni učinak u 1</w:t>
      </w:r>
      <w:r w:rsidR="00803579">
        <w:rPr>
          <w:rFonts w:cstheme="majorHAnsi"/>
        </w:rPr>
        <w:t>3</w:t>
      </w:r>
      <w:r w:rsidRPr="00764FC3">
        <w:rPr>
          <w:rFonts w:cstheme="majorHAnsi"/>
        </w:rPr>
        <w:t xml:space="preserve"> pokazatelja procenjenih u okviru oblasti ‘Demokratsko upravljanje’ iznosi </w:t>
      </w:r>
      <w:r w:rsidR="00803579">
        <w:rPr>
          <w:rFonts w:cstheme="majorHAnsi"/>
        </w:rPr>
        <w:t>6</w:t>
      </w:r>
      <w:r w:rsidRPr="00764FC3">
        <w:rPr>
          <w:rFonts w:cstheme="majorHAnsi"/>
        </w:rPr>
        <w:t xml:space="preserve"> bodova od ukupno </w:t>
      </w:r>
      <w:r w:rsidR="00803579">
        <w:rPr>
          <w:rFonts w:cstheme="majorHAnsi"/>
        </w:rPr>
        <w:t>40</w:t>
      </w:r>
      <w:r w:rsidRPr="00764FC3">
        <w:rPr>
          <w:rFonts w:cstheme="majorHAnsi"/>
        </w:rPr>
        <w:t xml:space="preserve"> mogućih bodova (</w:t>
      </w:r>
      <w:r w:rsidR="00803579">
        <w:rPr>
          <w:rFonts w:cstheme="majorHAnsi"/>
        </w:rPr>
        <w:t>15.00</w:t>
      </w:r>
      <w:r w:rsidRPr="00764FC3">
        <w:rPr>
          <w:rFonts w:cstheme="majorHAnsi"/>
        </w:rPr>
        <w:t>%).</w:t>
      </w:r>
    </w:p>
    <w:p w14:paraId="0DB177DE" w14:textId="56DCF6B5"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803579">
        <w:rPr>
          <w:rFonts w:cstheme="majorHAnsi"/>
        </w:rPr>
        <w:t>10</w:t>
      </w:r>
      <w:r w:rsidRPr="00764FC3">
        <w:rPr>
          <w:rFonts w:cstheme="majorHAnsi"/>
        </w:rPr>
        <w:t xml:space="preserve"> bodova od ukupno 2</w:t>
      </w:r>
      <w:r w:rsidR="00803579">
        <w:rPr>
          <w:rFonts w:cstheme="majorHAnsi"/>
        </w:rPr>
        <w:t>8</w:t>
      </w:r>
      <w:r w:rsidRPr="00764FC3">
        <w:rPr>
          <w:rFonts w:cstheme="majorHAnsi"/>
        </w:rPr>
        <w:t xml:space="preserve"> mogućih bodova (</w:t>
      </w:r>
      <w:r w:rsidR="00803579">
        <w:rPr>
          <w:rFonts w:cstheme="majorHAnsi"/>
        </w:rPr>
        <w:t>35.71</w:t>
      </w:r>
      <w:r w:rsidRPr="00764FC3">
        <w:rPr>
          <w:rFonts w:cstheme="majorHAnsi"/>
        </w:rPr>
        <w:t>%).</w:t>
      </w:r>
    </w:p>
    <w:p w14:paraId="6C502E7A" w14:textId="1563FCEA" w:rsidR="00B10745" w:rsidRPr="00764FC3" w:rsidRDefault="00B10745" w:rsidP="00B10745">
      <w:pPr>
        <w:jc w:val="both"/>
        <w:rPr>
          <w:rFonts w:cstheme="majorHAnsi"/>
        </w:rPr>
      </w:pPr>
      <w:r w:rsidRPr="00764FC3">
        <w:rPr>
          <w:rFonts w:cstheme="majorHAnsi"/>
        </w:rPr>
        <w:t xml:space="preserve">Prosečni učinak u </w:t>
      </w:r>
      <w:r w:rsidR="00803579">
        <w:rPr>
          <w:rFonts w:cstheme="majorHAnsi"/>
        </w:rPr>
        <w:t>9</w:t>
      </w:r>
      <w:r w:rsidRPr="00764FC3">
        <w:rPr>
          <w:rFonts w:cstheme="majorHAnsi"/>
        </w:rPr>
        <w:t xml:space="preserve"> pokazatelja procenjenih u okviru oblasti ‘Pružanje usluga’ je </w:t>
      </w:r>
      <w:r w:rsidR="00803579">
        <w:rPr>
          <w:rFonts w:cstheme="majorHAnsi"/>
        </w:rPr>
        <w:t xml:space="preserve">10 </w:t>
      </w:r>
      <w:r w:rsidRPr="00764FC3">
        <w:rPr>
          <w:rFonts w:cstheme="majorHAnsi"/>
        </w:rPr>
        <w:t xml:space="preserve">bodova od ukupno </w:t>
      </w:r>
      <w:r w:rsidR="00803579">
        <w:rPr>
          <w:rFonts w:cstheme="majorHAnsi"/>
        </w:rPr>
        <w:t xml:space="preserve">30 </w:t>
      </w:r>
      <w:r w:rsidRPr="00764FC3">
        <w:rPr>
          <w:rFonts w:cstheme="majorHAnsi"/>
        </w:rPr>
        <w:t>mogućih bodova (</w:t>
      </w:r>
      <w:r w:rsidR="00803579">
        <w:rPr>
          <w:rFonts w:cstheme="majorHAnsi"/>
        </w:rPr>
        <w:t>30.00</w:t>
      </w:r>
      <w:r w:rsidRPr="00764FC3">
        <w:rPr>
          <w:rFonts w:cstheme="majorHAnsi"/>
        </w:rPr>
        <w:t>%).</w:t>
      </w:r>
    </w:p>
    <w:p w14:paraId="5B13EC50" w14:textId="77777777" w:rsidR="00B10745" w:rsidRPr="00764FC3" w:rsidRDefault="00B10745" w:rsidP="00B10745"/>
    <w:p w14:paraId="265DABC8" w14:textId="77777777" w:rsidR="00B10745" w:rsidRPr="00764FC3" w:rsidRDefault="00B10745" w:rsidP="00B10745">
      <w:pPr>
        <w:jc w:val="both"/>
      </w:pPr>
    </w:p>
    <w:p w14:paraId="7293CEA7"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2B6BC2F2" w14:textId="7B298212" w:rsidR="00B10745" w:rsidRPr="00764FC3" w:rsidRDefault="00B10745" w:rsidP="00B10745">
      <w:pPr>
        <w:rPr>
          <w:rFonts w:cstheme="majorHAnsi"/>
          <w:b/>
          <w:bCs/>
        </w:rPr>
      </w:pPr>
      <w:r w:rsidRPr="00764FC3">
        <w:rPr>
          <w:rFonts w:cstheme="majorHAnsi"/>
          <w:b/>
          <w:bCs/>
        </w:rPr>
        <w:lastRenderedPageBreak/>
        <w:t xml:space="preserve">Rezime rezultata za </w:t>
      </w:r>
      <w:r w:rsidR="00F41E1B">
        <w:rPr>
          <w:rFonts w:cstheme="majorHAnsi"/>
          <w:b/>
          <w:bCs/>
        </w:rPr>
        <w:t>2024</w:t>
      </w:r>
      <w:r w:rsidRPr="00764FC3">
        <w:rPr>
          <w:rFonts w:cstheme="majorHAnsi"/>
          <w:b/>
          <w:bCs/>
        </w:rPr>
        <w:t>. godinu za grant opštinskog učinka - Opština Južna Mitrovica</w:t>
      </w:r>
    </w:p>
    <w:p w14:paraId="60229581" w14:textId="51E2E004" w:rsidR="00B10745" w:rsidRPr="00764FC3" w:rsidRDefault="00B10745" w:rsidP="00B10745">
      <w:pPr>
        <w:rPr>
          <w:rFonts w:cstheme="majorHAnsi"/>
          <w:b/>
          <w:bCs/>
        </w:rPr>
      </w:pPr>
      <w:r w:rsidRPr="00764FC3">
        <w:rPr>
          <w:rFonts w:cstheme="majorHAnsi"/>
          <w:b/>
          <w:bCs/>
        </w:rPr>
        <w:t xml:space="preserve">Procena minimalnih uslova za </w:t>
      </w:r>
      <w:r w:rsidR="00F41E1B">
        <w:rPr>
          <w:rFonts w:cstheme="majorHAnsi"/>
          <w:b/>
          <w:bCs/>
        </w:rPr>
        <w:t>202</w:t>
      </w:r>
      <w:r w:rsidR="00803579">
        <w:rPr>
          <w:rFonts w:cstheme="majorHAnsi"/>
          <w:b/>
          <w:bCs/>
        </w:rPr>
        <w:t>4</w:t>
      </w:r>
      <w:r w:rsidRPr="00764FC3">
        <w:rPr>
          <w:rFonts w:cstheme="majorHAnsi"/>
          <w:b/>
          <w:bCs/>
        </w:rPr>
        <w:t>. godinu</w:t>
      </w:r>
    </w:p>
    <w:p w14:paraId="2AE3053F" w14:textId="2A654A01" w:rsidR="00951282" w:rsidRPr="00764FC3" w:rsidRDefault="00803579" w:rsidP="00951282">
      <w:pPr>
        <w:jc w:val="both"/>
        <w:rPr>
          <w:rFonts w:cstheme="majorHAnsi"/>
        </w:rPr>
      </w:pPr>
      <w:r>
        <w:rPr>
          <w:noProof/>
          <w:lang w:val="en-GB" w:eastAsia="en-GB"/>
          <w14:ligatures w14:val="standardContextual"/>
        </w:rPr>
        <w:drawing>
          <wp:anchor distT="0" distB="0" distL="114300" distR="114300" simplePos="0" relativeHeight="251848704" behindDoc="0" locked="0" layoutInCell="1" allowOverlap="1" wp14:anchorId="054D3A3C" wp14:editId="46482162">
            <wp:simplePos x="0" y="0"/>
            <wp:positionH relativeFrom="column">
              <wp:posOffset>1971675</wp:posOffset>
            </wp:positionH>
            <wp:positionV relativeFrom="paragraph">
              <wp:posOffset>57150</wp:posOffset>
            </wp:positionV>
            <wp:extent cx="3840480" cy="2257200"/>
            <wp:effectExtent l="0" t="0" r="7620" b="10160"/>
            <wp:wrapSquare wrapText="bothSides"/>
            <wp:docPr id="60" name="Chart 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14:sizeRelV relativeFrom="margin">
              <wp14:pctHeight>0</wp14:pctHeight>
            </wp14:sizeRelV>
          </wp:anchor>
        </w:drawing>
      </w:r>
      <w:r w:rsidR="00B10745" w:rsidRPr="00764FC3">
        <w:rPr>
          <w:rFonts w:cstheme="majorHAnsi"/>
        </w:rPr>
        <w:t xml:space="preserve">Opština Južna Mitrovica nije se kvalifikovala </w:t>
      </w:r>
      <w:r w:rsidR="00951282" w:rsidRPr="00764FC3">
        <w:rPr>
          <w:rFonts w:cstheme="majorHAnsi"/>
        </w:rPr>
        <w:t>za grant za opštinski učinak za 202</w:t>
      </w:r>
      <w:r>
        <w:rPr>
          <w:rFonts w:cstheme="majorHAnsi"/>
        </w:rPr>
        <w:t>6</w:t>
      </w:r>
      <w:r w:rsidR="00951282" w:rsidRPr="00764FC3">
        <w:rPr>
          <w:rFonts w:cstheme="majorHAnsi"/>
        </w:rPr>
        <w:t xml:space="preserve">. godinu, na osnovu učinka za </w:t>
      </w:r>
      <w:r w:rsidR="00F41E1B">
        <w:rPr>
          <w:rFonts w:cstheme="majorHAnsi"/>
        </w:rPr>
        <w:t>2024</w:t>
      </w:r>
      <w:r w:rsidR="00951282" w:rsidRPr="00764FC3">
        <w:rPr>
          <w:rFonts w:cstheme="majorHAnsi"/>
        </w:rPr>
        <w:t>. godinu.</w:t>
      </w:r>
      <w:r w:rsidR="009D63C9" w:rsidRPr="00764FC3">
        <w:rPr>
          <w:rFonts w:cstheme="majorHAnsi"/>
        </w:rPr>
        <w:t xml:space="preserve"> </w:t>
      </w:r>
    </w:p>
    <w:p w14:paraId="2385975C" w14:textId="77777777" w:rsidR="00803579" w:rsidRPr="00764FC3" w:rsidRDefault="00803579" w:rsidP="00803579">
      <w:pPr>
        <w:jc w:val="both"/>
        <w:rPr>
          <w:rFonts w:cstheme="majorHAnsi"/>
        </w:rPr>
      </w:pPr>
      <w:r w:rsidRPr="00764FC3">
        <w:rPr>
          <w:rFonts w:cstheme="majorHAnsi"/>
        </w:rPr>
        <w:t>Minimalni uslov broj 3 (revizorsko mišljenje mora biti najmanje nemodifikovano sa isticanjem materije) nije ispunjen.</w:t>
      </w:r>
      <w:r w:rsidRPr="00764FC3" w:rsidDel="00785497">
        <w:rPr>
          <w:rFonts w:cstheme="majorHAnsi"/>
        </w:rPr>
        <w:t xml:space="preserve"> </w:t>
      </w:r>
    </w:p>
    <w:p w14:paraId="7A8A9449" w14:textId="77777777" w:rsidR="00B10745" w:rsidRPr="00764FC3" w:rsidRDefault="00B10745" w:rsidP="00B10745">
      <w:pPr>
        <w:jc w:val="both"/>
        <w:rPr>
          <w:rFonts w:cstheme="majorHAnsi"/>
        </w:rPr>
      </w:pPr>
    </w:p>
    <w:p w14:paraId="3DE6D91D" w14:textId="77777777" w:rsidR="00B10745" w:rsidRPr="00764FC3" w:rsidRDefault="00B10745" w:rsidP="00B10745">
      <w:pPr>
        <w:rPr>
          <w:b/>
        </w:rPr>
      </w:pPr>
    </w:p>
    <w:p w14:paraId="52AEAFA8" w14:textId="77777777" w:rsidR="00803579" w:rsidRDefault="00803579" w:rsidP="00B10745">
      <w:pPr>
        <w:rPr>
          <w:b/>
        </w:rPr>
      </w:pPr>
    </w:p>
    <w:p w14:paraId="6AA0DD8C" w14:textId="6D46DD8F"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3860409E" w14:textId="26FCF34D" w:rsidR="00B10745" w:rsidRPr="00764FC3" w:rsidRDefault="00803579" w:rsidP="00B10745">
      <w:r>
        <w:rPr>
          <w:noProof/>
          <w:lang w:val="en-GB" w:eastAsia="en-GB"/>
          <w14:ligatures w14:val="standardContextual"/>
        </w:rPr>
        <w:drawing>
          <wp:anchor distT="0" distB="0" distL="114300" distR="114300" simplePos="0" relativeHeight="251849728" behindDoc="0" locked="0" layoutInCell="1" allowOverlap="1" wp14:anchorId="02446D38" wp14:editId="7463E41E">
            <wp:simplePos x="0" y="0"/>
            <wp:positionH relativeFrom="column">
              <wp:posOffset>1924050</wp:posOffset>
            </wp:positionH>
            <wp:positionV relativeFrom="paragraph">
              <wp:posOffset>322580</wp:posOffset>
            </wp:positionV>
            <wp:extent cx="3840480" cy="2743200"/>
            <wp:effectExtent l="0" t="0" r="7620" b="0"/>
            <wp:wrapSquare wrapText="bothSides"/>
            <wp:docPr id="61" name="Chart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anchor>
        </w:drawing>
      </w:r>
      <w:r w:rsidR="00B10745" w:rsidRPr="00764FC3">
        <w:rPr>
          <w:rFonts w:cstheme="majorHAnsi"/>
        </w:rPr>
        <w:t>Prosečni učinak opštine Južna Mitrovica u 2</w:t>
      </w:r>
      <w:r>
        <w:rPr>
          <w:rFonts w:cstheme="majorHAnsi"/>
        </w:rPr>
        <w:t>9</w:t>
      </w:r>
      <w:r w:rsidR="00B10745" w:rsidRPr="00764FC3">
        <w:rPr>
          <w:rFonts w:cstheme="majorHAnsi"/>
        </w:rPr>
        <w:t xml:space="preserve"> procenjenih pokazatelja je </w:t>
      </w:r>
      <w:r>
        <w:rPr>
          <w:rFonts w:cstheme="majorHAnsi"/>
        </w:rPr>
        <w:t>47</w:t>
      </w:r>
      <w:r w:rsidR="00B10745" w:rsidRPr="00764FC3">
        <w:rPr>
          <w:rFonts w:cstheme="majorHAnsi"/>
        </w:rPr>
        <w:t xml:space="preserve"> bodova od ukupno 9</w:t>
      </w:r>
      <w:r>
        <w:rPr>
          <w:rFonts w:cstheme="majorHAnsi"/>
        </w:rPr>
        <w:t xml:space="preserve">8 </w:t>
      </w:r>
      <w:r w:rsidR="00B10745" w:rsidRPr="00764FC3">
        <w:rPr>
          <w:rFonts w:cstheme="majorHAnsi"/>
        </w:rPr>
        <w:t>mogućih bodova (</w:t>
      </w:r>
      <w:r>
        <w:rPr>
          <w:rFonts w:cstheme="majorHAnsi"/>
        </w:rPr>
        <w:t>47.96</w:t>
      </w:r>
      <w:r w:rsidR="00B10745" w:rsidRPr="00764FC3">
        <w:rPr>
          <w:rFonts w:cstheme="majorHAnsi"/>
        </w:rPr>
        <w:t>%).</w:t>
      </w:r>
      <w:r w:rsidR="00B10745" w:rsidRPr="00764FC3">
        <w:t xml:space="preserve"> </w:t>
      </w:r>
    </w:p>
    <w:p w14:paraId="5F9BB16F" w14:textId="121EF8F5" w:rsidR="00B10745" w:rsidRPr="00764FC3" w:rsidRDefault="00B10745" w:rsidP="00906691">
      <w:pPr>
        <w:jc w:val="both"/>
      </w:pPr>
      <w:r w:rsidRPr="00764FC3">
        <w:rPr>
          <w:rFonts w:cstheme="majorHAnsi"/>
        </w:rPr>
        <w:t>Prosečni učinak u 1</w:t>
      </w:r>
      <w:r w:rsidR="00803579">
        <w:rPr>
          <w:rFonts w:cstheme="majorHAnsi"/>
        </w:rPr>
        <w:t>3</w:t>
      </w:r>
      <w:r w:rsidRPr="00764FC3">
        <w:rPr>
          <w:rFonts w:cstheme="majorHAnsi"/>
        </w:rPr>
        <w:t xml:space="preserve"> pokazatelja procenjenih u okviru oblasti ‘Demokratsko upravljanje’ iznosi </w:t>
      </w:r>
      <w:r w:rsidR="00803579">
        <w:rPr>
          <w:rFonts w:cstheme="majorHAnsi"/>
        </w:rPr>
        <w:t>29</w:t>
      </w:r>
      <w:r w:rsidRPr="00764FC3">
        <w:rPr>
          <w:rFonts w:cstheme="majorHAnsi"/>
        </w:rPr>
        <w:t xml:space="preserve"> bodova od ukupno </w:t>
      </w:r>
      <w:r w:rsidR="00803579">
        <w:rPr>
          <w:rFonts w:cstheme="majorHAnsi"/>
        </w:rPr>
        <w:t>40</w:t>
      </w:r>
      <w:r w:rsidRPr="00764FC3">
        <w:rPr>
          <w:rFonts w:cstheme="majorHAnsi"/>
        </w:rPr>
        <w:t xml:space="preserve"> mogućih bodova (</w:t>
      </w:r>
      <w:r w:rsidR="00803579">
        <w:rPr>
          <w:rFonts w:cstheme="majorHAnsi"/>
        </w:rPr>
        <w:t>72.50</w:t>
      </w:r>
      <w:r w:rsidRPr="00764FC3">
        <w:rPr>
          <w:rFonts w:cstheme="majorHAnsi"/>
        </w:rPr>
        <w:t>%).</w:t>
      </w:r>
    </w:p>
    <w:p w14:paraId="72F2C677" w14:textId="095EFA0D" w:rsidR="00B10745" w:rsidRPr="00764FC3" w:rsidRDefault="00B10745" w:rsidP="00906691">
      <w:pPr>
        <w:jc w:val="both"/>
        <w:rPr>
          <w:rFonts w:cstheme="majorHAnsi"/>
        </w:rPr>
      </w:pPr>
      <w:r w:rsidRPr="00764FC3">
        <w:rPr>
          <w:rFonts w:cstheme="majorHAnsi"/>
        </w:rPr>
        <w:t xml:space="preserve">Prosečni učinak u 7 pokazatelja procenjenih u okviru oblasti ‘Opštinsko upravljanje’ je </w:t>
      </w:r>
      <w:r w:rsidR="00803579">
        <w:rPr>
          <w:rFonts w:cstheme="majorHAnsi"/>
        </w:rPr>
        <w:t>5</w:t>
      </w:r>
      <w:r w:rsidRPr="00764FC3">
        <w:rPr>
          <w:rFonts w:cstheme="majorHAnsi"/>
        </w:rPr>
        <w:t xml:space="preserve"> bodova od ukupno 2</w:t>
      </w:r>
      <w:r w:rsidR="00803579">
        <w:rPr>
          <w:rFonts w:cstheme="majorHAnsi"/>
        </w:rPr>
        <w:t>8</w:t>
      </w:r>
      <w:r w:rsidRPr="00764FC3">
        <w:rPr>
          <w:rFonts w:cstheme="majorHAnsi"/>
        </w:rPr>
        <w:t xml:space="preserve"> mogućih bodova (</w:t>
      </w:r>
      <w:r w:rsidR="00803579">
        <w:rPr>
          <w:rFonts w:cstheme="majorHAnsi"/>
        </w:rPr>
        <w:t>17.86</w:t>
      </w:r>
      <w:r w:rsidRPr="00764FC3">
        <w:rPr>
          <w:rFonts w:cstheme="majorHAnsi"/>
        </w:rPr>
        <w:t>%).</w:t>
      </w:r>
    </w:p>
    <w:p w14:paraId="66B4A695" w14:textId="1BE3F888" w:rsidR="00B10745" w:rsidRPr="00764FC3" w:rsidRDefault="00B10745" w:rsidP="00906691">
      <w:pPr>
        <w:jc w:val="both"/>
        <w:rPr>
          <w:rFonts w:cstheme="majorHAnsi"/>
        </w:rPr>
      </w:pPr>
      <w:r w:rsidRPr="00764FC3">
        <w:rPr>
          <w:rFonts w:cstheme="majorHAnsi"/>
        </w:rPr>
        <w:t xml:space="preserve">Prosečni učinak u </w:t>
      </w:r>
      <w:r w:rsidR="00803579">
        <w:rPr>
          <w:rFonts w:cstheme="majorHAnsi"/>
        </w:rPr>
        <w:t>9</w:t>
      </w:r>
      <w:r w:rsidRPr="00764FC3">
        <w:rPr>
          <w:rFonts w:cstheme="majorHAnsi"/>
        </w:rPr>
        <w:t xml:space="preserve"> pokazatelja procenjenih u okviru oblasti ‘Pružanje usluga’ je 1</w:t>
      </w:r>
      <w:r w:rsidR="00803579">
        <w:rPr>
          <w:rFonts w:cstheme="majorHAnsi"/>
        </w:rPr>
        <w:t>3</w:t>
      </w:r>
      <w:r w:rsidRPr="00764FC3">
        <w:rPr>
          <w:rFonts w:cstheme="majorHAnsi"/>
        </w:rPr>
        <w:t xml:space="preserve"> bodova od ukupno </w:t>
      </w:r>
      <w:r w:rsidR="00803579">
        <w:rPr>
          <w:rFonts w:cstheme="majorHAnsi"/>
        </w:rPr>
        <w:t>30</w:t>
      </w:r>
      <w:r w:rsidRPr="00764FC3">
        <w:rPr>
          <w:rFonts w:cstheme="majorHAnsi"/>
        </w:rPr>
        <w:t xml:space="preserve"> mogućih bodova (</w:t>
      </w:r>
      <w:r w:rsidR="00803579">
        <w:rPr>
          <w:rFonts w:cstheme="majorHAnsi"/>
        </w:rPr>
        <w:t>43.33</w:t>
      </w:r>
      <w:r w:rsidRPr="00764FC3">
        <w:rPr>
          <w:rFonts w:cstheme="majorHAnsi"/>
        </w:rPr>
        <w:t>%).</w:t>
      </w:r>
    </w:p>
    <w:p w14:paraId="3B679CF0" w14:textId="77777777" w:rsidR="00B10745" w:rsidRPr="00764FC3" w:rsidRDefault="00B10745" w:rsidP="00B10745"/>
    <w:p w14:paraId="10FC71DE"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3FA8FA7C" w14:textId="535AA408"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w:t>
      </w:r>
      <w:r w:rsidRPr="00764FC3">
        <w:rPr>
          <w:rFonts w:cs="Calibri Light"/>
        </w:rPr>
        <w:t xml:space="preserve"> </w:t>
      </w:r>
      <w:r w:rsidRPr="00764FC3">
        <w:rPr>
          <w:rFonts w:eastAsiaTheme="majorEastAsia" w:cs="Calibri Light"/>
          <w:b/>
        </w:rPr>
        <w:t>Severna Mitrovica</w:t>
      </w:r>
    </w:p>
    <w:p w14:paraId="509E40A9" w14:textId="58CB74E1" w:rsidR="00B10745" w:rsidRPr="00764FC3" w:rsidRDefault="00B10745" w:rsidP="00B10745">
      <w:pPr>
        <w:rPr>
          <w:b/>
        </w:rPr>
      </w:pPr>
      <w:r w:rsidRPr="00764FC3">
        <w:rPr>
          <w:b/>
        </w:rPr>
        <w:t xml:space="preserve">Procena minimalnih uslova za </w:t>
      </w:r>
      <w:r w:rsidR="00F41E1B">
        <w:rPr>
          <w:b/>
        </w:rPr>
        <w:t>202</w:t>
      </w:r>
      <w:r w:rsidR="00803579">
        <w:rPr>
          <w:b/>
        </w:rPr>
        <w:t>4</w:t>
      </w:r>
      <w:r w:rsidRPr="00764FC3">
        <w:rPr>
          <w:b/>
        </w:rPr>
        <w:t>. godinu</w:t>
      </w:r>
    </w:p>
    <w:p w14:paraId="01A5DE7E" w14:textId="1AEC96AA" w:rsidR="00806456" w:rsidRPr="00764FC3" w:rsidRDefault="00BC0786" w:rsidP="00B10745">
      <w:pPr>
        <w:jc w:val="both"/>
        <w:rPr>
          <w:rFonts w:cstheme="majorHAnsi"/>
        </w:rPr>
      </w:pPr>
      <w:r>
        <w:rPr>
          <w:noProof/>
          <w:lang w:val="en-GB" w:eastAsia="en-GB"/>
          <w14:ligatures w14:val="standardContextual"/>
        </w:rPr>
        <w:drawing>
          <wp:anchor distT="0" distB="0" distL="114300" distR="114300" simplePos="0" relativeHeight="251850752" behindDoc="0" locked="0" layoutInCell="1" allowOverlap="1" wp14:anchorId="015EC9B5" wp14:editId="0A9A8EE4">
            <wp:simplePos x="0" y="0"/>
            <wp:positionH relativeFrom="column">
              <wp:posOffset>1924050</wp:posOffset>
            </wp:positionH>
            <wp:positionV relativeFrom="paragraph">
              <wp:posOffset>57150</wp:posOffset>
            </wp:positionV>
            <wp:extent cx="3840480" cy="2743200"/>
            <wp:effectExtent l="0" t="0" r="7620" b="0"/>
            <wp:wrapSquare wrapText="bothSides"/>
            <wp:docPr id="62" name="Chart 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anchor>
        </w:drawing>
      </w:r>
      <w:r w:rsidR="00B10745" w:rsidRPr="00764FC3">
        <w:rPr>
          <w:rFonts w:cstheme="majorHAnsi"/>
        </w:rPr>
        <w:t xml:space="preserve">Opština Severna Mitrovica nije se kvalifikovala </w:t>
      </w:r>
      <w:bookmarkStart w:id="46" w:name="_Hlk114235842"/>
      <w:bookmarkStart w:id="47" w:name="_Hlk114231253"/>
      <w:r w:rsidR="00951282" w:rsidRPr="00764FC3">
        <w:rPr>
          <w:rFonts w:cstheme="majorHAnsi"/>
        </w:rPr>
        <w:t>za grant za opštinski učinak za 202</w:t>
      </w:r>
      <w:r>
        <w:rPr>
          <w:rFonts w:cstheme="majorHAnsi"/>
        </w:rPr>
        <w:t>6</w:t>
      </w:r>
      <w:r w:rsidR="00951282" w:rsidRPr="00764FC3">
        <w:rPr>
          <w:rFonts w:cstheme="majorHAnsi"/>
        </w:rPr>
        <w:t xml:space="preserve">. godinu, na osnovu učinka za </w:t>
      </w:r>
      <w:r w:rsidR="00F41E1B">
        <w:rPr>
          <w:rFonts w:cstheme="majorHAnsi"/>
        </w:rPr>
        <w:t>2024</w:t>
      </w:r>
      <w:r w:rsidR="00951282" w:rsidRPr="00764FC3">
        <w:rPr>
          <w:rFonts w:cstheme="majorHAnsi"/>
        </w:rPr>
        <w:t>. godinu.</w:t>
      </w:r>
    </w:p>
    <w:p w14:paraId="0586D870" w14:textId="71E9DAA6" w:rsidR="00B10745" w:rsidRPr="00764FC3" w:rsidRDefault="00B10745" w:rsidP="00B10745">
      <w:pPr>
        <w:jc w:val="both"/>
        <w:rPr>
          <w:rFonts w:cstheme="majorHAnsi"/>
        </w:rPr>
      </w:pPr>
      <w:r w:rsidRPr="00764FC3">
        <w:rPr>
          <w:rFonts w:cstheme="majorHAnsi"/>
        </w:rPr>
        <w:t>Minimalni uslov broj 3 (</w:t>
      </w:r>
      <w:r w:rsidR="00BC0786" w:rsidRPr="00764FC3">
        <w:rPr>
          <w:rFonts w:cstheme="majorHAnsi"/>
        </w:rPr>
        <w:t>revizorsko mišljenje mora biti najmanje nemodifikovano sa isticanjem materije</w:t>
      </w:r>
      <w:r w:rsidRPr="00764FC3">
        <w:rPr>
          <w:rFonts w:cstheme="majorHAnsi"/>
        </w:rPr>
        <w:t>) nije ispunjen</w:t>
      </w:r>
      <w:bookmarkEnd w:id="46"/>
      <w:r w:rsidRPr="00764FC3">
        <w:rPr>
          <w:rFonts w:cstheme="majorHAnsi"/>
        </w:rPr>
        <w:t>.</w:t>
      </w:r>
    </w:p>
    <w:bookmarkEnd w:id="47"/>
    <w:p w14:paraId="2129E76D" w14:textId="76BD62F5" w:rsidR="00B10745" w:rsidRPr="00764FC3" w:rsidRDefault="00B10745" w:rsidP="00B10745"/>
    <w:p w14:paraId="5FA016EA" w14:textId="77777777" w:rsidR="00B10745" w:rsidRPr="00764FC3" w:rsidRDefault="00B10745" w:rsidP="00B10745">
      <w:pPr>
        <w:jc w:val="both"/>
      </w:pPr>
    </w:p>
    <w:p w14:paraId="1B9BF271" w14:textId="77777777" w:rsidR="00B10745" w:rsidRPr="00764FC3" w:rsidRDefault="00B10745" w:rsidP="00B10745">
      <w:pPr>
        <w:jc w:val="both"/>
      </w:pPr>
    </w:p>
    <w:p w14:paraId="523F6F1E" w14:textId="77777777" w:rsidR="00BC0786" w:rsidRDefault="00BC0786" w:rsidP="00B10745">
      <w:pPr>
        <w:rPr>
          <w:b/>
        </w:rPr>
      </w:pPr>
    </w:p>
    <w:p w14:paraId="48B08DF3" w14:textId="66688190"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38428642" w14:textId="7FFE395B" w:rsidR="00B10745" w:rsidRPr="00764FC3" w:rsidRDefault="00BC0786" w:rsidP="00B10745">
      <w:pPr>
        <w:jc w:val="both"/>
        <w:rPr>
          <w:rFonts w:cstheme="majorHAnsi"/>
        </w:rPr>
      </w:pPr>
      <w:r>
        <w:rPr>
          <w:noProof/>
          <w:lang w:val="en-GB" w:eastAsia="en-GB"/>
          <w14:ligatures w14:val="standardContextual"/>
        </w:rPr>
        <w:drawing>
          <wp:anchor distT="0" distB="0" distL="114300" distR="114300" simplePos="0" relativeHeight="251851776" behindDoc="0" locked="0" layoutInCell="1" allowOverlap="1" wp14:anchorId="0B109D5B" wp14:editId="6E192573">
            <wp:simplePos x="0" y="0"/>
            <wp:positionH relativeFrom="column">
              <wp:posOffset>1857375</wp:posOffset>
            </wp:positionH>
            <wp:positionV relativeFrom="paragraph">
              <wp:posOffset>274955</wp:posOffset>
            </wp:positionV>
            <wp:extent cx="3840480" cy="2743200"/>
            <wp:effectExtent l="0" t="0" r="7620" b="0"/>
            <wp:wrapSquare wrapText="bothSides"/>
            <wp:docPr id="63" name="Chart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anchor>
        </w:drawing>
      </w:r>
      <w:r w:rsidR="00B10745" w:rsidRPr="00764FC3">
        <w:rPr>
          <w:rFonts w:cstheme="majorHAnsi"/>
        </w:rPr>
        <w:t>Prosečni učinak opštine Severna Mitrovica u 2</w:t>
      </w:r>
      <w:r>
        <w:rPr>
          <w:rFonts w:cstheme="majorHAnsi"/>
        </w:rPr>
        <w:t>9</w:t>
      </w:r>
      <w:r w:rsidR="00B10745" w:rsidRPr="00764FC3">
        <w:rPr>
          <w:rFonts w:cstheme="majorHAnsi"/>
        </w:rPr>
        <w:t xml:space="preserve"> procenjenih pokazatelja je </w:t>
      </w:r>
      <w:r>
        <w:rPr>
          <w:rFonts w:cstheme="majorHAnsi"/>
        </w:rPr>
        <w:t>13</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13.27</w:t>
      </w:r>
      <w:r w:rsidR="00B10745" w:rsidRPr="00764FC3">
        <w:rPr>
          <w:rFonts w:cstheme="majorHAnsi"/>
        </w:rPr>
        <w:t xml:space="preserve">%). </w:t>
      </w:r>
    </w:p>
    <w:p w14:paraId="6B2569CA" w14:textId="6E6B12B5" w:rsidR="00B10745" w:rsidRPr="00764FC3" w:rsidRDefault="00B10745" w:rsidP="00B10745">
      <w:pPr>
        <w:jc w:val="both"/>
        <w:rPr>
          <w:rFonts w:cstheme="majorHAnsi"/>
        </w:rPr>
      </w:pPr>
      <w:r w:rsidRPr="00764FC3">
        <w:rPr>
          <w:rFonts w:cstheme="majorHAnsi"/>
        </w:rPr>
        <w:t>Prosečni učinak u 1</w:t>
      </w:r>
      <w:r w:rsidR="00BC0786">
        <w:rPr>
          <w:rFonts w:cstheme="majorHAnsi"/>
        </w:rPr>
        <w:t>3</w:t>
      </w:r>
      <w:r w:rsidRPr="00764FC3">
        <w:rPr>
          <w:rFonts w:cstheme="majorHAnsi"/>
        </w:rPr>
        <w:t xml:space="preserve"> pokazatelja procenjenih u okviru oblasti ‘Demokratsko upravljanje’ je </w:t>
      </w:r>
      <w:r w:rsidR="00BC0786">
        <w:rPr>
          <w:rFonts w:cstheme="majorHAnsi"/>
        </w:rPr>
        <w:t>4</w:t>
      </w:r>
      <w:r w:rsidRPr="00764FC3">
        <w:rPr>
          <w:rFonts w:cstheme="majorHAnsi"/>
        </w:rPr>
        <w:t xml:space="preserve"> bodova od ukupno </w:t>
      </w:r>
      <w:r w:rsidR="00BC0786">
        <w:rPr>
          <w:rFonts w:cstheme="majorHAnsi"/>
        </w:rPr>
        <w:t>40</w:t>
      </w:r>
      <w:r w:rsidRPr="00764FC3">
        <w:rPr>
          <w:rFonts w:cstheme="majorHAnsi"/>
        </w:rPr>
        <w:t xml:space="preserve"> mogućih bodova (</w:t>
      </w:r>
      <w:r w:rsidR="00BC0786">
        <w:rPr>
          <w:rFonts w:cstheme="majorHAnsi"/>
        </w:rPr>
        <w:t>10.00</w:t>
      </w:r>
      <w:r w:rsidRPr="00764FC3">
        <w:rPr>
          <w:rFonts w:cstheme="majorHAnsi"/>
        </w:rPr>
        <w:t>%).</w:t>
      </w:r>
    </w:p>
    <w:p w14:paraId="15586618" w14:textId="0ACE5932"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BC0786">
        <w:rPr>
          <w:rFonts w:cstheme="majorHAnsi"/>
        </w:rPr>
        <w:t>5</w:t>
      </w:r>
      <w:r w:rsidRPr="00764FC3">
        <w:rPr>
          <w:rFonts w:cstheme="majorHAnsi"/>
        </w:rPr>
        <w:t xml:space="preserve"> bodova od ukupno 2</w:t>
      </w:r>
      <w:r w:rsidR="00BC0786">
        <w:rPr>
          <w:rFonts w:cstheme="majorHAnsi"/>
        </w:rPr>
        <w:t>8</w:t>
      </w:r>
      <w:r w:rsidRPr="00764FC3">
        <w:rPr>
          <w:rFonts w:cstheme="majorHAnsi"/>
        </w:rPr>
        <w:t xml:space="preserve"> mogućih bodova (</w:t>
      </w:r>
      <w:r w:rsidR="00BC0786">
        <w:rPr>
          <w:rFonts w:cstheme="majorHAnsi"/>
        </w:rPr>
        <w:t>17.86</w:t>
      </w:r>
      <w:r w:rsidRPr="00764FC3">
        <w:rPr>
          <w:rFonts w:cstheme="majorHAnsi"/>
        </w:rPr>
        <w:t>%).</w:t>
      </w:r>
    </w:p>
    <w:p w14:paraId="7B5155FF" w14:textId="21C7A42B" w:rsidR="00B10745" w:rsidRPr="00764FC3" w:rsidRDefault="00B10745" w:rsidP="00B10745">
      <w:pPr>
        <w:jc w:val="both"/>
        <w:rPr>
          <w:rFonts w:cstheme="majorHAnsi"/>
        </w:rPr>
      </w:pPr>
      <w:r w:rsidRPr="00764FC3">
        <w:rPr>
          <w:rFonts w:cstheme="majorHAnsi"/>
        </w:rPr>
        <w:t xml:space="preserve">Prosečni učinak u </w:t>
      </w:r>
      <w:r w:rsidR="00BC0786">
        <w:rPr>
          <w:rFonts w:cstheme="majorHAnsi"/>
        </w:rPr>
        <w:t>9</w:t>
      </w:r>
      <w:r w:rsidRPr="00764FC3">
        <w:rPr>
          <w:rFonts w:cstheme="majorHAnsi"/>
        </w:rPr>
        <w:t xml:space="preserve"> pokazatelja procenjenih u okviru oblasti ‘Pružanje usluga’ je </w:t>
      </w:r>
      <w:r w:rsidR="00BC0786">
        <w:rPr>
          <w:rFonts w:cstheme="majorHAnsi"/>
        </w:rPr>
        <w:t>4</w:t>
      </w:r>
      <w:r w:rsidRPr="00764FC3">
        <w:rPr>
          <w:rFonts w:cstheme="majorHAnsi"/>
        </w:rPr>
        <w:t xml:space="preserve"> bodova od ukupno </w:t>
      </w:r>
      <w:r w:rsidR="00BC0786">
        <w:rPr>
          <w:rFonts w:cstheme="majorHAnsi"/>
        </w:rPr>
        <w:t>30</w:t>
      </w:r>
      <w:r w:rsidRPr="00764FC3">
        <w:rPr>
          <w:rFonts w:cstheme="majorHAnsi"/>
        </w:rPr>
        <w:t xml:space="preserve"> mogućih bodova (</w:t>
      </w:r>
      <w:r w:rsidR="00BC0786">
        <w:rPr>
          <w:rFonts w:cstheme="majorHAnsi"/>
        </w:rPr>
        <w:t>13.33</w:t>
      </w:r>
      <w:r w:rsidRPr="00764FC3">
        <w:rPr>
          <w:rFonts w:cstheme="majorHAnsi"/>
        </w:rPr>
        <w:t>%).</w:t>
      </w:r>
    </w:p>
    <w:p w14:paraId="7A5D0913" w14:textId="77777777" w:rsidR="00B10745" w:rsidRPr="00764FC3" w:rsidRDefault="00B10745" w:rsidP="00B10745"/>
    <w:p w14:paraId="5E321E67" w14:textId="02F1BB20" w:rsidR="00B10745" w:rsidRDefault="00B10745" w:rsidP="00B10745">
      <w:pPr>
        <w:jc w:val="both"/>
      </w:pPr>
    </w:p>
    <w:p w14:paraId="0EA46244" w14:textId="535A818D" w:rsidR="00BC0786" w:rsidRDefault="00BC0786" w:rsidP="00B10745">
      <w:pPr>
        <w:jc w:val="both"/>
      </w:pPr>
    </w:p>
    <w:p w14:paraId="5228ED91" w14:textId="77777777" w:rsidR="00BC0786" w:rsidRPr="00764FC3" w:rsidRDefault="00BC0786" w:rsidP="00B10745">
      <w:pPr>
        <w:jc w:val="both"/>
      </w:pPr>
    </w:p>
    <w:p w14:paraId="5678AEB1" w14:textId="77777777" w:rsidR="00B10745" w:rsidRPr="00764FC3" w:rsidRDefault="00B10745" w:rsidP="00B10745">
      <w:pPr>
        <w:rPr>
          <w:rFonts w:eastAsiaTheme="majorEastAsia" w:cs="Calibri Light"/>
          <w:b/>
        </w:rPr>
      </w:pPr>
    </w:p>
    <w:p w14:paraId="17C750F6" w14:textId="77777777" w:rsidR="002842C1" w:rsidRPr="00764FC3" w:rsidRDefault="002842C1" w:rsidP="00B10745">
      <w:pPr>
        <w:rPr>
          <w:rFonts w:eastAsiaTheme="majorEastAsia" w:cs="Calibri Light"/>
          <w:b/>
        </w:rPr>
      </w:pPr>
    </w:p>
    <w:p w14:paraId="6897C8AC" w14:textId="16033BD7" w:rsidR="00B10745" w:rsidRPr="00764FC3" w:rsidRDefault="00B10745" w:rsidP="00B10745">
      <w:pPr>
        <w:rPr>
          <w:rFonts w:eastAsiaTheme="majorEastAsia" w:cs="Calibri Light"/>
          <w:b/>
        </w:rPr>
      </w:pPr>
      <w:r w:rsidRPr="00764FC3">
        <w:rPr>
          <w:rFonts w:eastAsiaTheme="majorEastAsia" w:cs="Calibri Light"/>
          <w:b/>
        </w:rPr>
        <w:t xml:space="preserve">Rezime rezultata za </w:t>
      </w:r>
      <w:r w:rsidR="00F41E1B">
        <w:rPr>
          <w:rFonts w:eastAsiaTheme="majorEastAsia" w:cs="Calibri Light"/>
          <w:b/>
        </w:rPr>
        <w:t>2024</w:t>
      </w:r>
      <w:r w:rsidRPr="00764FC3">
        <w:rPr>
          <w:rFonts w:eastAsiaTheme="majorEastAsia" w:cs="Calibri Light"/>
          <w:b/>
        </w:rPr>
        <w:t>. godinu za grant opštinskog učinka - Opština Novo Brdo</w:t>
      </w:r>
    </w:p>
    <w:p w14:paraId="21FA6CE4" w14:textId="3A5294B3" w:rsidR="00B10745" w:rsidRPr="00764FC3" w:rsidRDefault="00B10745" w:rsidP="00B10745">
      <w:pPr>
        <w:rPr>
          <w:b/>
        </w:rPr>
      </w:pPr>
      <w:r w:rsidRPr="00764FC3">
        <w:rPr>
          <w:b/>
        </w:rPr>
        <w:t xml:space="preserve">Procena minimalnih uslova za </w:t>
      </w:r>
      <w:r w:rsidR="00F41E1B">
        <w:rPr>
          <w:b/>
        </w:rPr>
        <w:t>2024</w:t>
      </w:r>
      <w:r w:rsidRPr="00764FC3">
        <w:rPr>
          <w:b/>
        </w:rPr>
        <w:t>. godinu</w:t>
      </w:r>
    </w:p>
    <w:p w14:paraId="1F302AB7" w14:textId="0D1F6E79" w:rsidR="00B10745" w:rsidRPr="00764FC3" w:rsidRDefault="00BC0786" w:rsidP="00B10745">
      <w:pPr>
        <w:jc w:val="both"/>
        <w:rPr>
          <w:rFonts w:cstheme="majorHAnsi"/>
        </w:rPr>
      </w:pPr>
      <w:r>
        <w:rPr>
          <w:noProof/>
          <w:lang w:val="en-GB" w:eastAsia="en-GB"/>
          <w14:ligatures w14:val="standardContextual"/>
        </w:rPr>
        <w:drawing>
          <wp:anchor distT="0" distB="0" distL="114300" distR="114300" simplePos="0" relativeHeight="251852800" behindDoc="0" locked="0" layoutInCell="1" allowOverlap="1" wp14:anchorId="48170C0A" wp14:editId="583581F2">
            <wp:simplePos x="0" y="0"/>
            <wp:positionH relativeFrom="column">
              <wp:posOffset>1880235</wp:posOffset>
            </wp:positionH>
            <wp:positionV relativeFrom="paragraph">
              <wp:posOffset>66675</wp:posOffset>
            </wp:positionV>
            <wp:extent cx="3840480" cy="2257200"/>
            <wp:effectExtent l="0" t="0" r="7620" b="10160"/>
            <wp:wrapSquare wrapText="bothSides"/>
            <wp:docPr id="1081546560" name="Chart 10815465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V relativeFrom="margin">
              <wp14:pctHeight>0</wp14:pctHeight>
            </wp14:sizeRelV>
          </wp:anchor>
        </w:drawing>
      </w:r>
      <w:r w:rsidR="00B10745" w:rsidRPr="00764FC3">
        <w:rPr>
          <w:rFonts w:cstheme="majorHAnsi"/>
        </w:rPr>
        <w:t xml:space="preserve">Opština Novo Brdo se nije kvalifikovala </w:t>
      </w:r>
      <w:r w:rsidR="00820673" w:rsidRPr="00764FC3">
        <w:rPr>
          <w:rFonts w:cstheme="majorHAnsi"/>
        </w:rPr>
        <w:t>za grant za opštinski učinak za 202</w:t>
      </w:r>
      <w:r>
        <w:rPr>
          <w:rFonts w:cstheme="majorHAnsi"/>
        </w:rPr>
        <w:t>6</w:t>
      </w:r>
      <w:r w:rsidR="00820673" w:rsidRPr="00764FC3">
        <w:rPr>
          <w:rFonts w:cstheme="majorHAnsi"/>
        </w:rPr>
        <w:t xml:space="preserve">. godinu, na osnovu učinka za </w:t>
      </w:r>
      <w:r w:rsidR="00F41E1B">
        <w:rPr>
          <w:rFonts w:cstheme="majorHAnsi"/>
        </w:rPr>
        <w:t>2024</w:t>
      </w:r>
      <w:r w:rsidR="00820673" w:rsidRPr="00764FC3">
        <w:rPr>
          <w:rFonts w:cstheme="majorHAnsi"/>
        </w:rPr>
        <w:t>. godinu.</w:t>
      </w:r>
      <w:r w:rsidR="00651602" w:rsidRPr="00764FC3">
        <w:rPr>
          <w:rFonts w:cstheme="majorHAnsi"/>
        </w:rPr>
        <w:t xml:space="preserve"> </w:t>
      </w:r>
    </w:p>
    <w:p w14:paraId="15E377B0" w14:textId="1EBF67DF" w:rsidR="00B10745" w:rsidRPr="00764FC3" w:rsidRDefault="00BC0786" w:rsidP="00B10745">
      <w:pPr>
        <w:jc w:val="both"/>
        <w:rPr>
          <w:rFonts w:cstheme="majorHAnsi"/>
        </w:rPr>
      </w:pPr>
      <w:r w:rsidRPr="00764FC3">
        <w:rPr>
          <w:rFonts w:cstheme="majorHAnsi"/>
        </w:rPr>
        <w:t>Minimalni uslov broj 3 (revizorsko mišljenje mora biti najmanje nemodifikovano sa isticanjem materije</w:t>
      </w:r>
      <w:r>
        <w:rPr>
          <w:rFonts w:cstheme="majorHAnsi"/>
        </w:rPr>
        <w:t xml:space="preserve">) </w:t>
      </w:r>
      <w:r w:rsidRPr="00764FC3">
        <w:rPr>
          <w:rFonts w:cstheme="majorHAnsi"/>
        </w:rPr>
        <w:t>nije ispunjen</w:t>
      </w:r>
      <w:r w:rsidR="00B10745" w:rsidRPr="00764FC3">
        <w:rPr>
          <w:rFonts w:cstheme="majorHAnsi"/>
        </w:rPr>
        <w:t>.</w:t>
      </w:r>
    </w:p>
    <w:p w14:paraId="2F3D4B88" w14:textId="549DFB3C" w:rsidR="00B10745" w:rsidRDefault="00B10745" w:rsidP="00651602">
      <w:pPr>
        <w:jc w:val="both"/>
        <w:rPr>
          <w:rFonts w:cstheme="majorHAnsi"/>
        </w:rPr>
      </w:pPr>
    </w:p>
    <w:p w14:paraId="4BBC0271" w14:textId="77777777" w:rsidR="00BC0786" w:rsidRPr="00764FC3" w:rsidRDefault="00BC0786" w:rsidP="00651602">
      <w:pPr>
        <w:jc w:val="both"/>
        <w:rPr>
          <w:rFonts w:cstheme="majorHAnsi"/>
        </w:rPr>
      </w:pPr>
    </w:p>
    <w:p w14:paraId="5D876830" w14:textId="4D25942C"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2EB4D3BA" w14:textId="7556FA9E" w:rsidR="00B10745" w:rsidRPr="00764FC3" w:rsidRDefault="00BC0786" w:rsidP="00B10745">
      <w:pPr>
        <w:jc w:val="both"/>
        <w:rPr>
          <w:rFonts w:cstheme="majorHAnsi"/>
        </w:rPr>
      </w:pPr>
      <w:r>
        <w:rPr>
          <w:noProof/>
          <w:lang w:val="en-GB" w:eastAsia="en-GB"/>
          <w14:ligatures w14:val="standardContextual"/>
        </w:rPr>
        <w:drawing>
          <wp:anchor distT="0" distB="0" distL="114300" distR="114300" simplePos="0" relativeHeight="251853824" behindDoc="0" locked="0" layoutInCell="1" allowOverlap="1" wp14:anchorId="4CE2953D" wp14:editId="018E1488">
            <wp:simplePos x="0" y="0"/>
            <wp:positionH relativeFrom="column">
              <wp:posOffset>1876425</wp:posOffset>
            </wp:positionH>
            <wp:positionV relativeFrom="paragraph">
              <wp:posOffset>236855</wp:posOffset>
            </wp:positionV>
            <wp:extent cx="3840480" cy="2743200"/>
            <wp:effectExtent l="0" t="0" r="7620" b="0"/>
            <wp:wrapSquare wrapText="bothSides"/>
            <wp:docPr id="1081546561" name="Chart 10815465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anchor>
        </w:drawing>
      </w:r>
      <w:r w:rsidRPr="00764FC3">
        <w:rPr>
          <w:rFonts w:cstheme="majorHAnsi"/>
        </w:rPr>
        <w:t xml:space="preserve"> </w:t>
      </w:r>
      <w:r w:rsidR="00B10745" w:rsidRPr="00764FC3">
        <w:rPr>
          <w:rFonts w:cstheme="majorHAnsi"/>
        </w:rPr>
        <w:t>Prosečni učinak opštine Novo Brdo u 2</w:t>
      </w:r>
      <w:r>
        <w:rPr>
          <w:rFonts w:cstheme="majorHAnsi"/>
        </w:rPr>
        <w:t>9</w:t>
      </w:r>
      <w:r w:rsidR="00B10745" w:rsidRPr="00764FC3">
        <w:rPr>
          <w:rFonts w:cstheme="majorHAnsi"/>
        </w:rPr>
        <w:t xml:space="preserve"> procenjenih pokazatelja je </w:t>
      </w:r>
      <w:r>
        <w:rPr>
          <w:rFonts w:cstheme="majorHAnsi"/>
        </w:rPr>
        <w:t>2</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2.04</w:t>
      </w:r>
      <w:r w:rsidR="00B10745" w:rsidRPr="00764FC3">
        <w:rPr>
          <w:rFonts w:cstheme="majorHAnsi"/>
        </w:rPr>
        <w:t>%).</w:t>
      </w:r>
      <w:r w:rsidR="00B10745" w:rsidRPr="00764FC3">
        <w:t xml:space="preserve"> </w:t>
      </w:r>
    </w:p>
    <w:p w14:paraId="6A2B5BB0" w14:textId="099FC50A" w:rsidR="00B10745" w:rsidRPr="00764FC3" w:rsidRDefault="00B10745" w:rsidP="00B10745">
      <w:pPr>
        <w:jc w:val="both"/>
        <w:rPr>
          <w:rFonts w:cstheme="majorHAnsi"/>
        </w:rPr>
      </w:pPr>
      <w:r w:rsidRPr="00764FC3">
        <w:rPr>
          <w:rFonts w:cstheme="majorHAnsi"/>
        </w:rPr>
        <w:t>Prosečni učinak u 1</w:t>
      </w:r>
      <w:r w:rsidR="00BC0786">
        <w:rPr>
          <w:rFonts w:cstheme="majorHAnsi"/>
        </w:rPr>
        <w:t>3</w:t>
      </w:r>
      <w:r w:rsidRPr="00764FC3">
        <w:rPr>
          <w:rFonts w:cstheme="majorHAnsi"/>
        </w:rPr>
        <w:t xml:space="preserve"> pokazatelja procenjenih u okviru oblasti ‘Demokratsko upravljanje’ je 0 bodova od ukupno </w:t>
      </w:r>
      <w:r w:rsidR="00BC0786">
        <w:rPr>
          <w:rFonts w:cstheme="majorHAnsi"/>
        </w:rPr>
        <w:t>40</w:t>
      </w:r>
      <w:r w:rsidRPr="00764FC3">
        <w:rPr>
          <w:rFonts w:cstheme="majorHAnsi"/>
        </w:rPr>
        <w:t xml:space="preserve"> mogućih bodova (0%).</w:t>
      </w:r>
    </w:p>
    <w:p w14:paraId="1C6955F7" w14:textId="3B07D07D"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BC0786">
        <w:rPr>
          <w:rFonts w:cstheme="majorHAnsi"/>
        </w:rPr>
        <w:t xml:space="preserve">0 </w:t>
      </w:r>
      <w:r w:rsidRPr="00764FC3">
        <w:rPr>
          <w:rFonts w:cstheme="majorHAnsi"/>
        </w:rPr>
        <w:t>bodova od ukupno 2</w:t>
      </w:r>
      <w:r w:rsidR="00BC0786">
        <w:rPr>
          <w:rFonts w:cstheme="majorHAnsi"/>
        </w:rPr>
        <w:t>8</w:t>
      </w:r>
      <w:r w:rsidRPr="00764FC3">
        <w:rPr>
          <w:rFonts w:cstheme="majorHAnsi"/>
        </w:rPr>
        <w:t xml:space="preserve"> mogućih bodova (0%).</w:t>
      </w:r>
    </w:p>
    <w:p w14:paraId="1013B535" w14:textId="50CCE7AE" w:rsidR="00B10745" w:rsidRPr="00764FC3" w:rsidRDefault="00B10745" w:rsidP="00B10745">
      <w:pPr>
        <w:jc w:val="both"/>
        <w:rPr>
          <w:rFonts w:cstheme="majorHAnsi"/>
        </w:rPr>
      </w:pPr>
      <w:r w:rsidRPr="00764FC3">
        <w:rPr>
          <w:rFonts w:cstheme="majorHAnsi"/>
        </w:rPr>
        <w:t xml:space="preserve">Prosečni učinak u </w:t>
      </w:r>
      <w:r w:rsidR="00BC0786">
        <w:rPr>
          <w:rFonts w:cstheme="majorHAnsi"/>
        </w:rPr>
        <w:t>9</w:t>
      </w:r>
      <w:r w:rsidRPr="00764FC3">
        <w:rPr>
          <w:rFonts w:cstheme="majorHAnsi"/>
        </w:rPr>
        <w:t xml:space="preserve"> pokazatelja procenjenih u okviru oblasti ‘Pružanje usluga’ je </w:t>
      </w:r>
      <w:r w:rsidR="00BC0786">
        <w:rPr>
          <w:rFonts w:cstheme="majorHAnsi"/>
        </w:rPr>
        <w:t>2</w:t>
      </w:r>
      <w:r w:rsidRPr="00764FC3">
        <w:rPr>
          <w:rFonts w:cstheme="majorHAnsi"/>
        </w:rPr>
        <w:t xml:space="preserve"> bodova od ukupno </w:t>
      </w:r>
      <w:r w:rsidR="00BC0786">
        <w:rPr>
          <w:rFonts w:cstheme="majorHAnsi"/>
        </w:rPr>
        <w:t>30</w:t>
      </w:r>
      <w:r w:rsidRPr="00764FC3">
        <w:rPr>
          <w:rFonts w:cstheme="majorHAnsi"/>
        </w:rPr>
        <w:t>mogućih bodova (0%).</w:t>
      </w:r>
    </w:p>
    <w:p w14:paraId="3993432D"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6184DB1B" w14:textId="10D330CF"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Obilić</w:t>
      </w:r>
    </w:p>
    <w:p w14:paraId="40D678C5" w14:textId="409FABD9" w:rsidR="00B10745" w:rsidRPr="00764FC3" w:rsidRDefault="00BC0786" w:rsidP="00B10745">
      <w:pPr>
        <w:rPr>
          <w:b/>
        </w:rPr>
      </w:pPr>
      <w:r w:rsidRPr="00764FC3">
        <w:rPr>
          <w:b/>
        </w:rPr>
        <w:t xml:space="preserve"> </w:t>
      </w:r>
      <w:r w:rsidR="00B10745" w:rsidRPr="00764FC3">
        <w:rPr>
          <w:b/>
        </w:rPr>
        <w:t xml:space="preserve">Procena minimalnih uslova za </w:t>
      </w:r>
      <w:r w:rsidR="00F41E1B">
        <w:rPr>
          <w:b/>
        </w:rPr>
        <w:t>2024</w:t>
      </w:r>
      <w:r w:rsidR="00B10745" w:rsidRPr="00764FC3">
        <w:rPr>
          <w:b/>
        </w:rPr>
        <w:t>. godinu</w:t>
      </w:r>
    </w:p>
    <w:p w14:paraId="094F7133" w14:textId="5C223232" w:rsidR="00B10745" w:rsidRPr="00BC0786" w:rsidRDefault="00BC0786" w:rsidP="00820673">
      <w:pPr>
        <w:jc w:val="both"/>
        <w:rPr>
          <w:rFonts w:cstheme="majorHAnsi"/>
          <w:lang w:val="sr-Latn-RS"/>
        </w:rPr>
      </w:pPr>
      <w:r>
        <w:rPr>
          <w:noProof/>
          <w:lang w:val="en-GB" w:eastAsia="en-GB"/>
          <w14:ligatures w14:val="standardContextual"/>
        </w:rPr>
        <w:drawing>
          <wp:anchor distT="0" distB="0" distL="114300" distR="114300" simplePos="0" relativeHeight="251854848" behindDoc="0" locked="0" layoutInCell="1" allowOverlap="1" wp14:anchorId="6BC31F11" wp14:editId="17C6F67C">
            <wp:simplePos x="0" y="0"/>
            <wp:positionH relativeFrom="column">
              <wp:posOffset>2057400</wp:posOffset>
            </wp:positionH>
            <wp:positionV relativeFrom="paragraph">
              <wp:posOffset>28575</wp:posOffset>
            </wp:positionV>
            <wp:extent cx="3840480" cy="2257200"/>
            <wp:effectExtent l="0" t="0" r="7620" b="10160"/>
            <wp:wrapSquare wrapText="bothSides"/>
            <wp:docPr id="1081546562" name="Chart 10815465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V relativeFrom="margin">
              <wp14:pctHeight>0</wp14:pctHeight>
            </wp14:sizeRelV>
          </wp:anchor>
        </w:drawing>
      </w:r>
      <w:r w:rsidR="00B10745" w:rsidRPr="00764FC3">
        <w:t xml:space="preserve">Opština Obilić se nije kvalifikovala </w:t>
      </w:r>
      <w:r w:rsidR="00820673" w:rsidRPr="00764FC3">
        <w:rPr>
          <w:rFonts w:cstheme="majorHAnsi"/>
          <w:lang w:val="sr-Latn-RS"/>
        </w:rPr>
        <w:t>za grant za opštinski učinak za 202</w:t>
      </w:r>
      <w:r>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p>
    <w:p w14:paraId="47B66DFF" w14:textId="1B47FD46" w:rsidR="00B10745" w:rsidRPr="00764FC3" w:rsidRDefault="00B10745" w:rsidP="00B10745">
      <w:pPr>
        <w:jc w:val="both"/>
      </w:pPr>
      <w:r w:rsidRPr="00764FC3">
        <w:t>Minimalni uslov broj 3 (</w:t>
      </w:r>
      <w:r w:rsidR="00BC0786" w:rsidRPr="00764FC3">
        <w:rPr>
          <w:rFonts w:cstheme="majorHAnsi"/>
        </w:rPr>
        <w:t>revizorsko mišljenje mora biti najmanje nemodifikovano sa isticanjem materije</w:t>
      </w:r>
      <w:r w:rsidRPr="00764FC3">
        <w:t>) nije ispunjen.</w:t>
      </w:r>
    </w:p>
    <w:p w14:paraId="3CA69984" w14:textId="77777777" w:rsidR="00B10745" w:rsidRPr="00764FC3" w:rsidRDefault="00B10745" w:rsidP="00B10745"/>
    <w:p w14:paraId="5E5C3A89" w14:textId="77777777" w:rsidR="00B10745" w:rsidRPr="00764FC3" w:rsidRDefault="00B10745" w:rsidP="00B10745"/>
    <w:p w14:paraId="133E94F4" w14:textId="77777777" w:rsidR="00B10745" w:rsidRPr="00764FC3" w:rsidRDefault="00B10745" w:rsidP="00B10745"/>
    <w:p w14:paraId="62E51FCB" w14:textId="77777777" w:rsidR="00B10745" w:rsidRPr="00764FC3" w:rsidRDefault="00B10745" w:rsidP="00B10745"/>
    <w:p w14:paraId="0B018FB5" w14:textId="0F2FD24D"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55F2C7E1" w14:textId="130F2337" w:rsidR="00B10745" w:rsidRPr="00764FC3" w:rsidRDefault="00BC0786" w:rsidP="00B10745">
      <w:pPr>
        <w:jc w:val="both"/>
        <w:rPr>
          <w:rFonts w:cstheme="majorHAnsi"/>
        </w:rPr>
      </w:pPr>
      <w:r>
        <w:rPr>
          <w:noProof/>
          <w:lang w:val="en-GB" w:eastAsia="en-GB"/>
          <w14:ligatures w14:val="standardContextual"/>
        </w:rPr>
        <w:drawing>
          <wp:anchor distT="0" distB="0" distL="114300" distR="114300" simplePos="0" relativeHeight="251855872" behindDoc="0" locked="0" layoutInCell="1" allowOverlap="1" wp14:anchorId="0E90F9F2" wp14:editId="29385C41">
            <wp:simplePos x="0" y="0"/>
            <wp:positionH relativeFrom="column">
              <wp:posOffset>1981200</wp:posOffset>
            </wp:positionH>
            <wp:positionV relativeFrom="paragraph">
              <wp:posOffset>411480</wp:posOffset>
            </wp:positionV>
            <wp:extent cx="3840480" cy="2743200"/>
            <wp:effectExtent l="0" t="0" r="7620" b="0"/>
            <wp:wrapSquare wrapText="bothSides"/>
            <wp:docPr id="1081546563" name="Chart 10815465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anchor>
        </w:drawing>
      </w:r>
      <w:r w:rsidRPr="00764FC3">
        <w:rPr>
          <w:rFonts w:cstheme="majorHAnsi"/>
        </w:rPr>
        <w:t xml:space="preserve"> </w:t>
      </w:r>
      <w:r w:rsidR="00B10745" w:rsidRPr="00764FC3">
        <w:rPr>
          <w:rFonts w:cstheme="majorHAnsi"/>
        </w:rPr>
        <w:t>Prosečni učinak opštine Obilić u 2</w:t>
      </w:r>
      <w:r>
        <w:rPr>
          <w:rFonts w:cstheme="majorHAnsi"/>
        </w:rPr>
        <w:t>9</w:t>
      </w:r>
      <w:r w:rsidR="00B10745" w:rsidRPr="00764FC3">
        <w:rPr>
          <w:rFonts w:cstheme="majorHAnsi"/>
        </w:rPr>
        <w:t xml:space="preserve"> procenjenih pokazatelja je </w:t>
      </w:r>
      <w:r>
        <w:rPr>
          <w:rFonts w:cstheme="majorHAnsi"/>
        </w:rPr>
        <w:t>72</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73.47</w:t>
      </w:r>
      <w:r w:rsidR="00B10745" w:rsidRPr="00764FC3">
        <w:rPr>
          <w:rFonts w:cstheme="majorHAnsi"/>
        </w:rPr>
        <w:t>%).</w:t>
      </w:r>
      <w:r w:rsidR="00B10745" w:rsidRPr="00764FC3">
        <w:t xml:space="preserve"> </w:t>
      </w:r>
    </w:p>
    <w:p w14:paraId="5DEAD442" w14:textId="371CB623" w:rsidR="00B10745" w:rsidRPr="00764FC3" w:rsidRDefault="00B10745" w:rsidP="00B10745">
      <w:pPr>
        <w:jc w:val="both"/>
        <w:rPr>
          <w:rFonts w:cstheme="majorHAnsi"/>
        </w:rPr>
      </w:pPr>
      <w:r w:rsidRPr="00764FC3">
        <w:rPr>
          <w:rFonts w:cstheme="majorHAnsi"/>
        </w:rPr>
        <w:t xml:space="preserve">Prosečni učinak u </w:t>
      </w:r>
      <w:r w:rsidR="00BC0786">
        <w:rPr>
          <w:rFonts w:cstheme="majorHAnsi"/>
        </w:rPr>
        <w:t>13</w:t>
      </w:r>
      <w:r w:rsidRPr="00764FC3">
        <w:rPr>
          <w:rFonts w:cstheme="majorHAnsi"/>
        </w:rPr>
        <w:t xml:space="preserve"> pokazatelja procenjenih u okviru oblasti ‘Demokratsko upravljanje’ iznosi 3</w:t>
      </w:r>
      <w:r w:rsidR="00BC0786">
        <w:rPr>
          <w:rFonts w:cstheme="majorHAnsi"/>
        </w:rPr>
        <w:t>9</w:t>
      </w:r>
      <w:r w:rsidRPr="00764FC3">
        <w:rPr>
          <w:rFonts w:cstheme="majorHAnsi"/>
        </w:rPr>
        <w:t xml:space="preserve"> bodova od ukupno </w:t>
      </w:r>
      <w:r w:rsidR="00BC0786">
        <w:rPr>
          <w:rFonts w:cstheme="majorHAnsi"/>
        </w:rPr>
        <w:t>40</w:t>
      </w:r>
      <w:r w:rsidRPr="00764FC3">
        <w:rPr>
          <w:rFonts w:cstheme="majorHAnsi"/>
        </w:rPr>
        <w:t xml:space="preserve"> mogućih bodova (</w:t>
      </w:r>
      <w:r w:rsidR="00933757">
        <w:rPr>
          <w:rFonts w:cstheme="majorHAnsi"/>
        </w:rPr>
        <w:t>97.50</w:t>
      </w:r>
      <w:r w:rsidRPr="00764FC3">
        <w:rPr>
          <w:rFonts w:cstheme="majorHAnsi"/>
        </w:rPr>
        <w:t>%).</w:t>
      </w:r>
    </w:p>
    <w:p w14:paraId="14DDD9CC" w14:textId="5B5B2E0B"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18 bodova od ukupno </w:t>
      </w:r>
      <w:r w:rsidR="00933757">
        <w:rPr>
          <w:rFonts w:cstheme="majorHAnsi"/>
        </w:rPr>
        <w:t>28</w:t>
      </w:r>
      <w:r w:rsidRPr="00764FC3">
        <w:rPr>
          <w:rFonts w:cstheme="majorHAnsi"/>
        </w:rPr>
        <w:t xml:space="preserve"> mogućih bodova (</w:t>
      </w:r>
      <w:r w:rsidR="00933757">
        <w:rPr>
          <w:rFonts w:cstheme="majorHAnsi"/>
        </w:rPr>
        <w:t>64.29</w:t>
      </w:r>
      <w:r w:rsidRPr="00764FC3">
        <w:rPr>
          <w:rFonts w:cstheme="majorHAnsi"/>
        </w:rPr>
        <w:t>%).</w:t>
      </w:r>
    </w:p>
    <w:p w14:paraId="1DF91737" w14:textId="7D402285" w:rsidR="00B10745" w:rsidRPr="00764FC3" w:rsidRDefault="00B10745" w:rsidP="00B10745">
      <w:pPr>
        <w:jc w:val="both"/>
        <w:rPr>
          <w:rFonts w:cstheme="majorHAnsi"/>
        </w:rPr>
      </w:pPr>
      <w:r w:rsidRPr="00764FC3">
        <w:rPr>
          <w:rFonts w:cstheme="majorHAnsi"/>
        </w:rPr>
        <w:t xml:space="preserve">Prosečni učinak u </w:t>
      </w:r>
      <w:r w:rsidR="00933757">
        <w:rPr>
          <w:rFonts w:cstheme="majorHAnsi"/>
        </w:rPr>
        <w:t>9</w:t>
      </w:r>
      <w:r w:rsidRPr="00764FC3">
        <w:rPr>
          <w:rFonts w:cstheme="majorHAnsi"/>
        </w:rPr>
        <w:t xml:space="preserve"> pokazatelja procenjenih u okviru oblasti ‘Pružanje usluga’ je 1</w:t>
      </w:r>
      <w:r w:rsidR="00933757">
        <w:rPr>
          <w:rFonts w:cstheme="majorHAnsi"/>
        </w:rPr>
        <w:t>5</w:t>
      </w:r>
      <w:r w:rsidRPr="00764FC3">
        <w:rPr>
          <w:rFonts w:cstheme="majorHAnsi"/>
        </w:rPr>
        <w:t xml:space="preserve"> bodova od ukupno </w:t>
      </w:r>
      <w:r w:rsidR="00933757">
        <w:rPr>
          <w:rFonts w:cstheme="majorHAnsi"/>
        </w:rPr>
        <w:t>30</w:t>
      </w:r>
      <w:r w:rsidRPr="00764FC3">
        <w:rPr>
          <w:rFonts w:cstheme="majorHAnsi"/>
        </w:rPr>
        <w:t xml:space="preserve"> mogućih bodova (</w:t>
      </w:r>
      <w:r w:rsidR="00933757">
        <w:rPr>
          <w:rFonts w:cstheme="majorHAnsi"/>
        </w:rPr>
        <w:t>50.00</w:t>
      </w:r>
      <w:r w:rsidRPr="00764FC3">
        <w:rPr>
          <w:rFonts w:cstheme="majorHAnsi"/>
        </w:rPr>
        <w:t>%).</w:t>
      </w:r>
    </w:p>
    <w:p w14:paraId="77FC63FB" w14:textId="77777777" w:rsidR="00B10745" w:rsidRPr="00764FC3" w:rsidRDefault="00B10745" w:rsidP="00B10745"/>
    <w:p w14:paraId="28948D92"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6607D767" w14:textId="7578EDF9" w:rsidR="00B10745" w:rsidRPr="00764FC3" w:rsidRDefault="00B10745" w:rsidP="00B10745">
      <w:pPr>
        <w:rPr>
          <w:rFonts w:eastAsiaTheme="majorEastAsia" w:cs="Calibri Light"/>
          <w:b/>
        </w:rPr>
      </w:pPr>
      <w:r w:rsidRPr="00764FC3">
        <w:rPr>
          <w:rFonts w:eastAsiaTheme="majorEastAsia" w:cs="Calibri Light"/>
          <w:b/>
        </w:rPr>
        <w:lastRenderedPageBreak/>
        <w:t xml:space="preserve">Rezime rezultata za </w:t>
      </w:r>
      <w:r w:rsidR="00F41E1B">
        <w:rPr>
          <w:rFonts w:eastAsiaTheme="majorEastAsia" w:cs="Calibri Light"/>
          <w:b/>
        </w:rPr>
        <w:t>2024</w:t>
      </w:r>
      <w:r w:rsidRPr="00764FC3">
        <w:rPr>
          <w:rFonts w:eastAsiaTheme="majorEastAsia" w:cs="Calibri Light"/>
          <w:b/>
        </w:rPr>
        <w:t>. godinu za grant opštinskog učinka - Opština Parteš</w:t>
      </w:r>
    </w:p>
    <w:p w14:paraId="55DF818E" w14:textId="5264175E" w:rsidR="00B10745" w:rsidRPr="00764FC3" w:rsidRDefault="00933757" w:rsidP="00B10745">
      <w:pPr>
        <w:rPr>
          <w:b/>
        </w:rPr>
      </w:pPr>
      <w:r>
        <w:rPr>
          <w:noProof/>
          <w:lang w:val="en-GB" w:eastAsia="en-GB"/>
          <w14:ligatures w14:val="standardContextual"/>
        </w:rPr>
        <w:drawing>
          <wp:anchor distT="0" distB="0" distL="114300" distR="114300" simplePos="0" relativeHeight="251856896" behindDoc="0" locked="0" layoutInCell="1" allowOverlap="1" wp14:anchorId="008022E1" wp14:editId="46EAB728">
            <wp:simplePos x="0" y="0"/>
            <wp:positionH relativeFrom="column">
              <wp:posOffset>1887855</wp:posOffset>
            </wp:positionH>
            <wp:positionV relativeFrom="paragraph">
              <wp:posOffset>285750</wp:posOffset>
            </wp:positionV>
            <wp:extent cx="3840480" cy="2257200"/>
            <wp:effectExtent l="0" t="0" r="7620" b="10160"/>
            <wp:wrapSquare wrapText="bothSides"/>
            <wp:docPr id="1081546564" name="Chart 10815465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14:sizeRelV relativeFrom="margin">
              <wp14:pctHeight>0</wp14:pctHeight>
            </wp14:sizeRelV>
          </wp:anchor>
        </w:drawing>
      </w:r>
      <w:r w:rsidR="00B10745" w:rsidRPr="00764FC3">
        <w:rPr>
          <w:b/>
        </w:rPr>
        <w:t xml:space="preserve">Procena minimalnih uslova za </w:t>
      </w:r>
      <w:r w:rsidR="00F41E1B">
        <w:rPr>
          <w:b/>
        </w:rPr>
        <w:t>2024</w:t>
      </w:r>
      <w:r w:rsidR="00B10745" w:rsidRPr="00764FC3">
        <w:rPr>
          <w:b/>
        </w:rPr>
        <w:t>. godinu</w:t>
      </w:r>
    </w:p>
    <w:p w14:paraId="5115E077" w14:textId="387A999E" w:rsidR="00820673" w:rsidRPr="00764FC3" w:rsidRDefault="00933757" w:rsidP="00820673">
      <w:pPr>
        <w:jc w:val="both"/>
        <w:rPr>
          <w:rFonts w:cstheme="majorHAnsi"/>
          <w:lang w:val="sr-Latn-RS"/>
        </w:rPr>
      </w:pPr>
      <w:r w:rsidRPr="00764FC3">
        <w:rPr>
          <w:rFonts w:cstheme="majorHAnsi"/>
        </w:rPr>
        <w:t xml:space="preserve"> </w:t>
      </w:r>
      <w:r w:rsidR="00B10745" w:rsidRPr="00764FC3">
        <w:rPr>
          <w:rFonts w:cstheme="majorHAnsi"/>
        </w:rPr>
        <w:t xml:space="preserve">Opština Parteš se kvalifikovala </w:t>
      </w:r>
      <w:r w:rsidR="00820673" w:rsidRPr="00764FC3">
        <w:rPr>
          <w:rFonts w:cstheme="majorHAnsi"/>
          <w:lang w:val="sr-Latn-RS"/>
        </w:rPr>
        <w:t>za grant za opštinski učinak za 202</w:t>
      </w:r>
      <w:r>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r w:rsidR="002139D1" w:rsidRPr="00764FC3">
        <w:rPr>
          <w:rFonts w:cstheme="majorHAnsi"/>
        </w:rPr>
        <w:t xml:space="preserve"> </w:t>
      </w:r>
    </w:p>
    <w:p w14:paraId="7A79F714" w14:textId="4F510674" w:rsidR="00B10745" w:rsidRPr="00764FC3" w:rsidRDefault="00B10745" w:rsidP="00B10745">
      <w:pPr>
        <w:jc w:val="both"/>
        <w:rPr>
          <w:rFonts w:cstheme="majorHAnsi"/>
        </w:rPr>
      </w:pPr>
    </w:p>
    <w:p w14:paraId="3408B9F2" w14:textId="77777777" w:rsidR="00B10745" w:rsidRPr="00764FC3" w:rsidRDefault="00B10745" w:rsidP="00B10745">
      <w:pPr>
        <w:jc w:val="both"/>
        <w:rPr>
          <w:rFonts w:cstheme="majorHAnsi"/>
        </w:rPr>
      </w:pPr>
      <w:r w:rsidRPr="00764FC3">
        <w:rPr>
          <w:rFonts w:cstheme="majorHAnsi"/>
        </w:rPr>
        <w:t>Opština je ispunila sva četiri minimalna uslova.</w:t>
      </w:r>
    </w:p>
    <w:p w14:paraId="4DD2402C" w14:textId="77777777" w:rsidR="00B10745" w:rsidRPr="00764FC3" w:rsidRDefault="00B10745" w:rsidP="00B10745">
      <w:pPr>
        <w:rPr>
          <w:rFonts w:cstheme="majorHAnsi"/>
        </w:rPr>
      </w:pPr>
    </w:p>
    <w:p w14:paraId="15F4A7DC" w14:textId="77777777" w:rsidR="00B10745" w:rsidRPr="00764FC3" w:rsidRDefault="00B10745" w:rsidP="00B10745">
      <w:pPr>
        <w:rPr>
          <w:rFonts w:cstheme="majorHAnsi"/>
        </w:rPr>
      </w:pPr>
    </w:p>
    <w:p w14:paraId="2D24E1C1" w14:textId="77777777" w:rsidR="00B10745" w:rsidRPr="00764FC3" w:rsidRDefault="00B10745" w:rsidP="00B10745"/>
    <w:p w14:paraId="7AF57CE1" w14:textId="67DE2C59"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36C4C6CA" w14:textId="09E5B3B6" w:rsidR="00B10745" w:rsidRPr="00764FC3" w:rsidRDefault="00933757" w:rsidP="00B10745">
      <w:pPr>
        <w:jc w:val="both"/>
        <w:rPr>
          <w:rFonts w:cstheme="majorHAnsi"/>
        </w:rPr>
      </w:pPr>
      <w:r>
        <w:rPr>
          <w:noProof/>
          <w:lang w:val="en-GB" w:eastAsia="en-GB"/>
          <w14:ligatures w14:val="standardContextual"/>
        </w:rPr>
        <w:drawing>
          <wp:anchor distT="0" distB="0" distL="114300" distR="114300" simplePos="0" relativeHeight="251857920" behindDoc="0" locked="0" layoutInCell="1" allowOverlap="1" wp14:anchorId="11886479" wp14:editId="64F17238">
            <wp:simplePos x="0" y="0"/>
            <wp:positionH relativeFrom="column">
              <wp:posOffset>1885950</wp:posOffset>
            </wp:positionH>
            <wp:positionV relativeFrom="paragraph">
              <wp:posOffset>236220</wp:posOffset>
            </wp:positionV>
            <wp:extent cx="3840480" cy="2743200"/>
            <wp:effectExtent l="0" t="0" r="7620" b="0"/>
            <wp:wrapSquare wrapText="bothSides"/>
            <wp:docPr id="1081546565" name="Chart 108154656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anchor>
        </w:drawing>
      </w:r>
      <w:r w:rsidR="00B10745" w:rsidRPr="00764FC3">
        <w:rPr>
          <w:rFonts w:cstheme="majorHAnsi"/>
        </w:rPr>
        <w:t xml:space="preserve">Prosečni učinak opštine Parteš u </w:t>
      </w:r>
      <w:r>
        <w:rPr>
          <w:rFonts w:cstheme="majorHAnsi"/>
        </w:rPr>
        <w:t>29</w:t>
      </w:r>
      <w:r w:rsidR="00B10745" w:rsidRPr="00764FC3">
        <w:rPr>
          <w:rFonts w:cstheme="majorHAnsi"/>
        </w:rPr>
        <w:t xml:space="preserve"> procenjenih pokazatelja je </w:t>
      </w:r>
      <w:r>
        <w:rPr>
          <w:rFonts w:cstheme="majorHAnsi"/>
        </w:rPr>
        <w:t>11</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11.22</w:t>
      </w:r>
      <w:r w:rsidR="00B10745" w:rsidRPr="00764FC3">
        <w:rPr>
          <w:rFonts w:cstheme="majorHAnsi"/>
        </w:rPr>
        <w:t>%).</w:t>
      </w:r>
      <w:r w:rsidR="00B10745" w:rsidRPr="00764FC3">
        <w:t xml:space="preserve"> </w:t>
      </w:r>
    </w:p>
    <w:p w14:paraId="360B0162" w14:textId="136E9E6F" w:rsidR="00B10745" w:rsidRPr="00764FC3" w:rsidRDefault="00933757" w:rsidP="00B10745">
      <w:pPr>
        <w:jc w:val="both"/>
        <w:rPr>
          <w:rFonts w:cstheme="majorHAnsi"/>
        </w:rPr>
      </w:pPr>
      <w:r w:rsidRPr="00764FC3">
        <w:rPr>
          <w:rFonts w:cstheme="majorHAnsi"/>
        </w:rPr>
        <w:t xml:space="preserve"> </w:t>
      </w:r>
      <w:r w:rsidR="00B10745" w:rsidRPr="00764FC3">
        <w:rPr>
          <w:rFonts w:cstheme="majorHAnsi"/>
        </w:rPr>
        <w:t xml:space="preserve">Prosečni učinak u 12 pokazatelja procenjenih u okviru oblasti ‘Demokratsko upravljanje’ je </w:t>
      </w:r>
      <w:r>
        <w:rPr>
          <w:rFonts w:cstheme="majorHAnsi"/>
        </w:rPr>
        <w:t>7</w:t>
      </w:r>
      <w:r w:rsidR="00B10745" w:rsidRPr="00764FC3">
        <w:rPr>
          <w:rFonts w:cstheme="majorHAnsi"/>
        </w:rPr>
        <w:t xml:space="preserve"> bodova od ukupno </w:t>
      </w:r>
      <w:r>
        <w:rPr>
          <w:rFonts w:cstheme="majorHAnsi"/>
        </w:rPr>
        <w:t>40</w:t>
      </w:r>
      <w:r w:rsidR="00B10745" w:rsidRPr="00764FC3">
        <w:rPr>
          <w:rFonts w:cstheme="majorHAnsi"/>
        </w:rPr>
        <w:t xml:space="preserve"> mogućih bodova (0%).</w:t>
      </w:r>
    </w:p>
    <w:p w14:paraId="5F40E9D0" w14:textId="42E193DD" w:rsidR="00B10745" w:rsidRPr="00764FC3" w:rsidRDefault="00B10745" w:rsidP="00B10745">
      <w:pPr>
        <w:jc w:val="both"/>
        <w:rPr>
          <w:rFonts w:cstheme="majorHAnsi"/>
        </w:rPr>
      </w:pPr>
      <w:r w:rsidRPr="00764FC3">
        <w:rPr>
          <w:rFonts w:cstheme="majorHAnsi"/>
        </w:rPr>
        <w:t>Prosečni učinak u 7 pokazatelja procenjenih u okviru oblasti ‘Opštinsko upravljanje’ je 2 bodova od ukupno 2</w:t>
      </w:r>
      <w:r w:rsidR="00933757">
        <w:rPr>
          <w:rFonts w:cstheme="majorHAnsi"/>
        </w:rPr>
        <w:t>8</w:t>
      </w:r>
      <w:r w:rsidRPr="00764FC3">
        <w:rPr>
          <w:rFonts w:cstheme="majorHAnsi"/>
        </w:rPr>
        <w:t xml:space="preserve"> mogućih bodova (7,</w:t>
      </w:r>
      <w:r w:rsidR="00933757">
        <w:rPr>
          <w:rFonts w:cstheme="majorHAnsi"/>
        </w:rPr>
        <w:t>14</w:t>
      </w:r>
      <w:r w:rsidRPr="00764FC3">
        <w:rPr>
          <w:rFonts w:cstheme="majorHAnsi"/>
        </w:rPr>
        <w:t>%).</w:t>
      </w:r>
    </w:p>
    <w:p w14:paraId="5856A8E7" w14:textId="785FE19D" w:rsidR="00B10745" w:rsidRPr="00764FC3" w:rsidRDefault="00B10745" w:rsidP="00B10745">
      <w:pPr>
        <w:jc w:val="both"/>
        <w:rPr>
          <w:rFonts w:cstheme="majorHAnsi"/>
        </w:rPr>
      </w:pPr>
      <w:r w:rsidRPr="00764FC3">
        <w:rPr>
          <w:rFonts w:cstheme="majorHAnsi"/>
        </w:rPr>
        <w:t xml:space="preserve">Prosečni učinak u </w:t>
      </w:r>
      <w:r w:rsidR="00933757">
        <w:rPr>
          <w:rFonts w:cstheme="majorHAnsi"/>
        </w:rPr>
        <w:t>9</w:t>
      </w:r>
      <w:r w:rsidRPr="00764FC3">
        <w:rPr>
          <w:rFonts w:cstheme="majorHAnsi"/>
        </w:rPr>
        <w:t xml:space="preserve"> pokazatelja procenjenih u okviru oblasti ‘Pružanje usluga’ je 2 bodova od ukupno </w:t>
      </w:r>
      <w:r w:rsidR="00933757">
        <w:rPr>
          <w:rFonts w:cstheme="majorHAnsi"/>
        </w:rPr>
        <w:t>30</w:t>
      </w:r>
      <w:r w:rsidRPr="00764FC3">
        <w:rPr>
          <w:rFonts w:cstheme="majorHAnsi"/>
        </w:rPr>
        <w:t xml:space="preserve"> mogućih bodova (</w:t>
      </w:r>
      <w:r w:rsidR="00933757">
        <w:rPr>
          <w:rFonts w:cstheme="majorHAnsi"/>
        </w:rPr>
        <w:t>6.67</w:t>
      </w:r>
      <w:r w:rsidRPr="00764FC3">
        <w:rPr>
          <w:rFonts w:cstheme="majorHAnsi"/>
        </w:rPr>
        <w:t>%).</w:t>
      </w:r>
    </w:p>
    <w:p w14:paraId="0F9A85AE" w14:textId="77777777" w:rsidR="00B10745" w:rsidRPr="00764FC3" w:rsidRDefault="00B10745" w:rsidP="00B10745"/>
    <w:p w14:paraId="36071CEF" w14:textId="77777777" w:rsidR="00B10745" w:rsidRPr="00764FC3" w:rsidRDefault="00B10745" w:rsidP="00B10745">
      <w:pPr>
        <w:jc w:val="both"/>
        <w:rPr>
          <w:rFonts w:cstheme="majorHAnsi"/>
        </w:rPr>
      </w:pPr>
    </w:p>
    <w:p w14:paraId="49EDC38E"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41740A68" w14:textId="2B9E799B"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Peć</w:t>
      </w:r>
    </w:p>
    <w:p w14:paraId="1BC0203C" w14:textId="59B7F5FD" w:rsidR="00B10745" w:rsidRPr="00764FC3" w:rsidRDefault="00933757" w:rsidP="00B10745">
      <w:r w:rsidRPr="00764FC3">
        <w:rPr>
          <w:rFonts w:eastAsiaTheme="majorEastAsia" w:cstheme="majorBidi"/>
          <w:b/>
        </w:rPr>
        <w:t xml:space="preserve"> </w:t>
      </w:r>
      <w:r w:rsidR="00B10745" w:rsidRPr="00764FC3">
        <w:rPr>
          <w:rFonts w:eastAsiaTheme="majorEastAsia" w:cstheme="majorBidi"/>
          <w:b/>
        </w:rPr>
        <w:t xml:space="preserve">Procena minimalnih uslova za </w:t>
      </w:r>
      <w:r w:rsidR="00F41E1B">
        <w:rPr>
          <w:rFonts w:eastAsiaTheme="majorEastAsia" w:cstheme="majorBidi"/>
          <w:b/>
        </w:rPr>
        <w:t>2024</w:t>
      </w:r>
      <w:r w:rsidR="00B10745" w:rsidRPr="00764FC3">
        <w:rPr>
          <w:rFonts w:eastAsiaTheme="majorEastAsia" w:cstheme="majorBidi"/>
          <w:b/>
        </w:rPr>
        <w:t>. godinu</w:t>
      </w:r>
    </w:p>
    <w:p w14:paraId="57DA488D" w14:textId="0164DEE7" w:rsidR="00820673" w:rsidRPr="00764FC3" w:rsidRDefault="00933757" w:rsidP="00820673">
      <w:pPr>
        <w:jc w:val="both"/>
        <w:rPr>
          <w:rFonts w:cstheme="majorHAnsi"/>
          <w:lang w:val="sr-Latn-RS"/>
        </w:rPr>
      </w:pPr>
      <w:r>
        <w:rPr>
          <w:noProof/>
          <w:lang w:val="en-GB" w:eastAsia="en-GB"/>
          <w14:ligatures w14:val="standardContextual"/>
        </w:rPr>
        <w:drawing>
          <wp:anchor distT="0" distB="0" distL="114300" distR="114300" simplePos="0" relativeHeight="251858944" behindDoc="0" locked="0" layoutInCell="1" allowOverlap="1" wp14:anchorId="1178FC6F" wp14:editId="358157A4">
            <wp:simplePos x="0" y="0"/>
            <wp:positionH relativeFrom="column">
              <wp:posOffset>1800225</wp:posOffset>
            </wp:positionH>
            <wp:positionV relativeFrom="paragraph">
              <wp:posOffset>66675</wp:posOffset>
            </wp:positionV>
            <wp:extent cx="3840480" cy="2257200"/>
            <wp:effectExtent l="0" t="0" r="7620" b="10160"/>
            <wp:wrapSquare wrapText="bothSides"/>
            <wp:docPr id="1081546566" name="Chart 10815465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14:sizeRelV relativeFrom="margin">
              <wp14:pctHeight>0</wp14:pctHeight>
            </wp14:sizeRelV>
          </wp:anchor>
        </w:drawing>
      </w:r>
      <w:r w:rsidR="00B10745" w:rsidRPr="00764FC3">
        <w:rPr>
          <w:rFonts w:cstheme="majorHAnsi"/>
        </w:rPr>
        <w:t xml:space="preserve">Opština Peć se nije kvalifikovala </w:t>
      </w:r>
      <w:r w:rsidR="00820673" w:rsidRPr="00764FC3">
        <w:rPr>
          <w:rFonts w:cstheme="majorHAnsi"/>
          <w:lang w:val="sr-Latn-RS"/>
        </w:rPr>
        <w:t>za grant za opštinski učinak za 202</w:t>
      </w:r>
      <w:r>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r w:rsidR="00F46DDF" w:rsidRPr="00764FC3">
        <w:rPr>
          <w:rFonts w:cstheme="majorHAnsi"/>
        </w:rPr>
        <w:t xml:space="preserve"> </w:t>
      </w:r>
    </w:p>
    <w:p w14:paraId="34A15937" w14:textId="6C1E2828" w:rsidR="00B10745" w:rsidRPr="00764FC3" w:rsidRDefault="00B10745" w:rsidP="00B10745">
      <w:pPr>
        <w:jc w:val="both"/>
        <w:rPr>
          <w:rFonts w:cstheme="majorHAnsi"/>
        </w:rPr>
      </w:pPr>
    </w:p>
    <w:p w14:paraId="6BDFE33E" w14:textId="48EC5BED" w:rsidR="00B10745" w:rsidRPr="00764FC3" w:rsidRDefault="00B10745" w:rsidP="00B10745">
      <w:pPr>
        <w:jc w:val="both"/>
      </w:pPr>
      <w:bookmarkStart w:id="48" w:name="_Hlk114231459"/>
      <w:r w:rsidRPr="00764FC3">
        <w:rPr>
          <w:rFonts w:cstheme="majorHAnsi"/>
        </w:rPr>
        <w:t>Minimalni uslov broj 3 (</w:t>
      </w:r>
      <w:bookmarkEnd w:id="48"/>
      <w:r w:rsidR="00933757" w:rsidRPr="00764FC3">
        <w:rPr>
          <w:rFonts w:cstheme="majorHAnsi"/>
        </w:rPr>
        <w:t>revizorsko mišljenje mora biti najmanje nemodifikovano sa isticanjem materije</w:t>
      </w:r>
      <w:r w:rsidR="00933757" w:rsidRPr="00764FC3">
        <w:t>) nije ispunjen.</w:t>
      </w:r>
    </w:p>
    <w:p w14:paraId="1A14001D" w14:textId="50419A20" w:rsidR="00B10745" w:rsidRPr="00764FC3" w:rsidRDefault="00B10745" w:rsidP="00933757">
      <w:pPr>
        <w:tabs>
          <w:tab w:val="left" w:pos="1190"/>
        </w:tabs>
      </w:pPr>
    </w:p>
    <w:p w14:paraId="0C550EA3" w14:textId="77777777" w:rsidR="00B10745" w:rsidRPr="00764FC3" w:rsidRDefault="00B10745" w:rsidP="00B10745"/>
    <w:p w14:paraId="361F3C3C" w14:textId="7B19FCE9"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6756AC67" w14:textId="3A806CEC" w:rsidR="00B10745" w:rsidRPr="00764FC3" w:rsidRDefault="00933757" w:rsidP="00B10745">
      <w:pPr>
        <w:jc w:val="both"/>
        <w:rPr>
          <w:rFonts w:cstheme="majorHAnsi"/>
        </w:rPr>
      </w:pPr>
      <w:r>
        <w:rPr>
          <w:noProof/>
          <w:lang w:val="en-GB" w:eastAsia="en-GB"/>
          <w14:ligatures w14:val="standardContextual"/>
        </w:rPr>
        <w:drawing>
          <wp:anchor distT="0" distB="0" distL="114300" distR="114300" simplePos="0" relativeHeight="251859968" behindDoc="0" locked="0" layoutInCell="1" allowOverlap="1" wp14:anchorId="25AD5DD2" wp14:editId="6EA3A5E8">
            <wp:simplePos x="0" y="0"/>
            <wp:positionH relativeFrom="column">
              <wp:posOffset>1800225</wp:posOffset>
            </wp:positionH>
            <wp:positionV relativeFrom="paragraph">
              <wp:posOffset>347980</wp:posOffset>
            </wp:positionV>
            <wp:extent cx="3840480" cy="2743200"/>
            <wp:effectExtent l="0" t="0" r="7620" b="0"/>
            <wp:wrapSquare wrapText="bothSides"/>
            <wp:docPr id="1081546567" name="Chart 10815465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anchor>
        </w:drawing>
      </w:r>
      <w:r w:rsidR="00B10745" w:rsidRPr="00764FC3">
        <w:rPr>
          <w:rFonts w:cstheme="majorHAnsi"/>
        </w:rPr>
        <w:t>Prosečni učinak opštine Peć u 2</w:t>
      </w:r>
      <w:r>
        <w:rPr>
          <w:rFonts w:cstheme="majorHAnsi"/>
        </w:rPr>
        <w:t>9</w:t>
      </w:r>
      <w:r w:rsidR="00B10745" w:rsidRPr="00764FC3">
        <w:rPr>
          <w:rFonts w:cstheme="majorHAnsi"/>
        </w:rPr>
        <w:t xml:space="preserve"> procenjenih pokazatelja je </w:t>
      </w:r>
      <w:r>
        <w:rPr>
          <w:rFonts w:cstheme="majorHAnsi"/>
        </w:rPr>
        <w:t>4</w:t>
      </w:r>
      <w:r w:rsidR="00B10745" w:rsidRPr="00764FC3">
        <w:rPr>
          <w:rFonts w:cstheme="majorHAnsi"/>
        </w:rPr>
        <w:t>5 bodova od ukupno 9</w:t>
      </w:r>
      <w:r>
        <w:rPr>
          <w:rFonts w:cstheme="majorHAnsi"/>
        </w:rPr>
        <w:t>8</w:t>
      </w:r>
      <w:r w:rsidR="00B10745" w:rsidRPr="00764FC3">
        <w:rPr>
          <w:rFonts w:cstheme="majorHAnsi"/>
        </w:rPr>
        <w:t xml:space="preserve"> mogućih bodova (</w:t>
      </w:r>
      <w:r>
        <w:rPr>
          <w:rFonts w:cstheme="majorHAnsi"/>
        </w:rPr>
        <w:t>45.92</w:t>
      </w:r>
      <w:r w:rsidR="00B10745" w:rsidRPr="00764FC3">
        <w:rPr>
          <w:rFonts w:cstheme="majorHAnsi"/>
        </w:rPr>
        <w:t>%).</w:t>
      </w:r>
      <w:r w:rsidR="00B10745" w:rsidRPr="00764FC3">
        <w:t xml:space="preserve"> </w:t>
      </w:r>
    </w:p>
    <w:p w14:paraId="0320C6C2" w14:textId="343AE55F" w:rsidR="00B10745" w:rsidRPr="00764FC3" w:rsidRDefault="00B10745" w:rsidP="00B10745">
      <w:pPr>
        <w:jc w:val="both"/>
        <w:rPr>
          <w:rFonts w:cstheme="majorHAnsi"/>
        </w:rPr>
      </w:pPr>
      <w:r w:rsidRPr="00764FC3">
        <w:rPr>
          <w:rFonts w:cstheme="majorHAnsi"/>
        </w:rPr>
        <w:t>Prosečni učinak u 1</w:t>
      </w:r>
      <w:r w:rsidR="00933757">
        <w:rPr>
          <w:rFonts w:cstheme="majorHAnsi"/>
        </w:rPr>
        <w:t>3</w:t>
      </w:r>
      <w:r w:rsidRPr="00764FC3">
        <w:rPr>
          <w:rFonts w:cstheme="majorHAnsi"/>
        </w:rPr>
        <w:t xml:space="preserve"> pokazatelja procenjenih u okviru oblasti ‘Demokratsko upravljanje’ iznosi </w:t>
      </w:r>
      <w:r w:rsidR="00933757">
        <w:rPr>
          <w:rFonts w:cstheme="majorHAnsi"/>
        </w:rPr>
        <w:t>18</w:t>
      </w:r>
      <w:r w:rsidRPr="00764FC3">
        <w:rPr>
          <w:rFonts w:cstheme="majorHAnsi"/>
        </w:rPr>
        <w:t xml:space="preserve"> bodova od ukupno </w:t>
      </w:r>
      <w:r w:rsidR="00933757">
        <w:rPr>
          <w:rFonts w:cstheme="majorHAnsi"/>
        </w:rPr>
        <w:t>40</w:t>
      </w:r>
      <w:r w:rsidRPr="00764FC3">
        <w:rPr>
          <w:rFonts w:cstheme="majorHAnsi"/>
        </w:rPr>
        <w:t xml:space="preserve"> mogućih bodova (</w:t>
      </w:r>
      <w:r w:rsidR="00933757">
        <w:rPr>
          <w:rFonts w:cstheme="majorHAnsi"/>
        </w:rPr>
        <w:t>45.00</w:t>
      </w:r>
      <w:r w:rsidRPr="00764FC3">
        <w:rPr>
          <w:rFonts w:cstheme="majorHAnsi"/>
        </w:rPr>
        <w:t>%).</w:t>
      </w:r>
    </w:p>
    <w:p w14:paraId="1B75C410" w14:textId="18D526CA" w:rsidR="00B10745" w:rsidRPr="00764FC3" w:rsidRDefault="00B10745" w:rsidP="00B10745">
      <w:pPr>
        <w:jc w:val="both"/>
        <w:rPr>
          <w:rFonts w:cstheme="majorHAnsi"/>
        </w:rPr>
      </w:pPr>
      <w:r w:rsidRPr="00764FC3">
        <w:rPr>
          <w:rFonts w:cstheme="majorHAnsi"/>
        </w:rPr>
        <w:t>Prosečni učinak u 7 pokazatelja procenjenih u okviru oblasti ‘Opštinsko upravljanje’ je 1</w:t>
      </w:r>
      <w:r w:rsidR="00933757">
        <w:rPr>
          <w:rFonts w:cstheme="majorHAnsi"/>
        </w:rPr>
        <w:t>1</w:t>
      </w:r>
      <w:r w:rsidRPr="00764FC3">
        <w:rPr>
          <w:rFonts w:cstheme="majorHAnsi"/>
        </w:rPr>
        <w:t xml:space="preserve"> bodova od ukupno 2</w:t>
      </w:r>
      <w:r w:rsidR="00933757">
        <w:rPr>
          <w:rFonts w:cstheme="majorHAnsi"/>
        </w:rPr>
        <w:t>8</w:t>
      </w:r>
      <w:r w:rsidRPr="00764FC3">
        <w:rPr>
          <w:rFonts w:cstheme="majorHAnsi"/>
        </w:rPr>
        <w:t xml:space="preserve"> mogućih bodova (</w:t>
      </w:r>
      <w:r w:rsidR="00933757">
        <w:rPr>
          <w:rFonts w:cstheme="majorHAnsi"/>
        </w:rPr>
        <w:t>39.29</w:t>
      </w:r>
      <w:r w:rsidRPr="00764FC3">
        <w:rPr>
          <w:rFonts w:cstheme="majorHAnsi"/>
        </w:rPr>
        <w:t>%).</w:t>
      </w:r>
    </w:p>
    <w:p w14:paraId="0FEF6D83" w14:textId="29883437" w:rsidR="00B10745" w:rsidRPr="00764FC3" w:rsidRDefault="00B10745" w:rsidP="00B10745">
      <w:pPr>
        <w:jc w:val="both"/>
        <w:rPr>
          <w:rFonts w:cstheme="majorHAnsi"/>
        </w:rPr>
      </w:pPr>
      <w:r w:rsidRPr="00764FC3">
        <w:rPr>
          <w:rFonts w:cstheme="majorHAnsi"/>
        </w:rPr>
        <w:t xml:space="preserve">Prosečni učinak u </w:t>
      </w:r>
      <w:r w:rsidR="00933757">
        <w:rPr>
          <w:rFonts w:cstheme="majorHAnsi"/>
        </w:rPr>
        <w:t>9</w:t>
      </w:r>
      <w:r w:rsidRPr="00764FC3">
        <w:rPr>
          <w:rFonts w:cstheme="majorHAnsi"/>
        </w:rPr>
        <w:t xml:space="preserve"> pokazatelja procenjenih u okviru oblasti ‘Pružanje usluga’ je 1</w:t>
      </w:r>
      <w:r w:rsidR="00933757">
        <w:rPr>
          <w:rFonts w:cstheme="majorHAnsi"/>
        </w:rPr>
        <w:t>6</w:t>
      </w:r>
      <w:r w:rsidRPr="00764FC3">
        <w:rPr>
          <w:rFonts w:cstheme="majorHAnsi"/>
        </w:rPr>
        <w:t xml:space="preserve"> bodova od ukupno </w:t>
      </w:r>
      <w:r w:rsidR="00933757">
        <w:rPr>
          <w:rFonts w:cstheme="majorHAnsi"/>
        </w:rPr>
        <w:t>30</w:t>
      </w:r>
      <w:r w:rsidRPr="00764FC3">
        <w:rPr>
          <w:rFonts w:cstheme="majorHAnsi"/>
        </w:rPr>
        <w:t xml:space="preserve"> mogućih bodova (</w:t>
      </w:r>
      <w:r w:rsidR="00933757">
        <w:rPr>
          <w:rFonts w:cstheme="majorHAnsi"/>
        </w:rPr>
        <w:t>53.33</w:t>
      </w:r>
      <w:r w:rsidRPr="00764FC3">
        <w:rPr>
          <w:rFonts w:cstheme="majorHAnsi"/>
        </w:rPr>
        <w:t>%).</w:t>
      </w:r>
    </w:p>
    <w:p w14:paraId="6F4900F2" w14:textId="77777777" w:rsidR="00B10745" w:rsidRPr="00764FC3" w:rsidRDefault="00B10745" w:rsidP="00B10745"/>
    <w:p w14:paraId="5EB63342" w14:textId="77777777" w:rsidR="00B10745" w:rsidRPr="00764FC3" w:rsidRDefault="00B10745" w:rsidP="00B10745">
      <w:pPr>
        <w:jc w:val="both"/>
      </w:pPr>
    </w:p>
    <w:p w14:paraId="0ED941D2"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3FBEDCC5" w14:textId="72E6B306" w:rsidR="00B10745" w:rsidRPr="00764FC3" w:rsidRDefault="00B10745" w:rsidP="00B10745">
      <w:pPr>
        <w:jc w:val="both"/>
        <w:rPr>
          <w:b/>
          <w:bCs/>
        </w:rPr>
      </w:pPr>
      <w:bookmarkStart w:id="49" w:name="_Toc99363475"/>
      <w:r w:rsidRPr="00764FC3">
        <w:rPr>
          <w:b/>
          <w:bCs/>
        </w:rPr>
        <w:lastRenderedPageBreak/>
        <w:t xml:space="preserve">Rezime rezultata za </w:t>
      </w:r>
      <w:r w:rsidR="00F41E1B">
        <w:rPr>
          <w:b/>
          <w:bCs/>
        </w:rPr>
        <w:t>2024</w:t>
      </w:r>
      <w:r w:rsidRPr="00764FC3">
        <w:rPr>
          <w:b/>
          <w:bCs/>
        </w:rPr>
        <w:t>. godinu za grant opštinskog učinka - Opština Podujevo</w:t>
      </w:r>
      <w:bookmarkEnd w:id="49"/>
      <w:r w:rsidRPr="00764FC3">
        <w:rPr>
          <w:b/>
          <w:bCs/>
        </w:rPr>
        <w:br/>
      </w:r>
    </w:p>
    <w:p w14:paraId="18285659" w14:textId="5C5456B3" w:rsidR="00B10745" w:rsidRPr="00764FC3" w:rsidRDefault="00B10745" w:rsidP="00B10745">
      <w:pPr>
        <w:rPr>
          <w:rFonts w:eastAsiaTheme="majorEastAsia" w:cstheme="majorBidi"/>
          <w:b/>
        </w:rPr>
      </w:pPr>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5E855392" w14:textId="0FCC116C" w:rsidR="00B10745" w:rsidRPr="00933757" w:rsidRDefault="00933757" w:rsidP="00B10745">
      <w:pPr>
        <w:jc w:val="both"/>
        <w:rPr>
          <w:rFonts w:cstheme="majorHAnsi"/>
          <w:lang w:val="sr-Latn-RS"/>
        </w:rPr>
      </w:pPr>
      <w:r>
        <w:rPr>
          <w:noProof/>
          <w:lang w:val="en-GB" w:eastAsia="en-GB"/>
          <w14:ligatures w14:val="standardContextual"/>
        </w:rPr>
        <w:drawing>
          <wp:anchor distT="0" distB="0" distL="114300" distR="114300" simplePos="0" relativeHeight="251860992" behindDoc="0" locked="0" layoutInCell="1" allowOverlap="1" wp14:anchorId="1DD98836" wp14:editId="3E0C0DD0">
            <wp:simplePos x="0" y="0"/>
            <wp:positionH relativeFrom="column">
              <wp:posOffset>1943100</wp:posOffset>
            </wp:positionH>
            <wp:positionV relativeFrom="paragraph">
              <wp:posOffset>64135</wp:posOffset>
            </wp:positionV>
            <wp:extent cx="3840480" cy="2257200"/>
            <wp:effectExtent l="0" t="0" r="7620" b="10160"/>
            <wp:wrapSquare wrapText="bothSides"/>
            <wp:docPr id="1081546568" name="Chart 10815465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14:sizeRelV relativeFrom="margin">
              <wp14:pctHeight>0</wp14:pctHeight>
            </wp14:sizeRelV>
          </wp:anchor>
        </w:drawing>
      </w:r>
      <w:r w:rsidR="00B10745" w:rsidRPr="00764FC3">
        <w:rPr>
          <w:rFonts w:cstheme="majorHAnsi"/>
        </w:rPr>
        <w:t xml:space="preserve">Opština Podujevo se nije kvalifikovala </w:t>
      </w:r>
      <w:r w:rsidR="00820673" w:rsidRPr="00764FC3">
        <w:rPr>
          <w:rFonts w:cstheme="majorHAnsi"/>
          <w:lang w:val="sr-Latn-RS"/>
        </w:rPr>
        <w:t>za grant za opštinski učinak za 202</w:t>
      </w:r>
      <w:r>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r w:rsidR="00650494" w:rsidRPr="00764FC3">
        <w:rPr>
          <w:rFonts w:cstheme="majorHAnsi"/>
        </w:rPr>
        <w:t xml:space="preserve"> </w:t>
      </w:r>
    </w:p>
    <w:p w14:paraId="28639807" w14:textId="77777777" w:rsidR="00933757" w:rsidRPr="00764FC3" w:rsidRDefault="00933757" w:rsidP="00933757">
      <w:pPr>
        <w:jc w:val="both"/>
      </w:pPr>
      <w:r w:rsidRPr="00764FC3">
        <w:rPr>
          <w:rFonts w:cstheme="majorHAnsi"/>
        </w:rPr>
        <w:t>Minimalni uslov broj 3 (revizorsko mišljenje mora biti najmanje nemodifikovano sa isticanjem materije</w:t>
      </w:r>
      <w:r w:rsidRPr="00764FC3">
        <w:t>) nije ispunjen.</w:t>
      </w:r>
    </w:p>
    <w:p w14:paraId="384B8A7A" w14:textId="22C51DA6" w:rsidR="00B10745" w:rsidRDefault="00B10745" w:rsidP="00B10745"/>
    <w:p w14:paraId="7F0F32BB" w14:textId="77777777" w:rsidR="00933757" w:rsidRPr="00764FC3" w:rsidRDefault="00933757" w:rsidP="00B10745">
      <w:pPr>
        <w:rPr>
          <w:b/>
        </w:rPr>
      </w:pPr>
    </w:p>
    <w:p w14:paraId="450C4CA0" w14:textId="0CADC37E"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03E47BF5" w14:textId="01317432" w:rsidR="00B10745" w:rsidRPr="00764FC3" w:rsidRDefault="00933757" w:rsidP="00B10745">
      <w:pPr>
        <w:jc w:val="both"/>
        <w:rPr>
          <w:rFonts w:cstheme="majorHAnsi"/>
        </w:rPr>
      </w:pPr>
      <w:r>
        <w:rPr>
          <w:noProof/>
          <w:lang w:val="en-GB" w:eastAsia="en-GB"/>
          <w14:ligatures w14:val="standardContextual"/>
        </w:rPr>
        <w:drawing>
          <wp:anchor distT="0" distB="0" distL="114300" distR="114300" simplePos="0" relativeHeight="251862016" behindDoc="0" locked="0" layoutInCell="1" allowOverlap="1" wp14:anchorId="06876975" wp14:editId="52412FDA">
            <wp:simplePos x="0" y="0"/>
            <wp:positionH relativeFrom="column">
              <wp:posOffset>1943100</wp:posOffset>
            </wp:positionH>
            <wp:positionV relativeFrom="paragraph">
              <wp:posOffset>430530</wp:posOffset>
            </wp:positionV>
            <wp:extent cx="3840480" cy="2743200"/>
            <wp:effectExtent l="0" t="0" r="7620" b="0"/>
            <wp:wrapSquare wrapText="bothSides"/>
            <wp:docPr id="1081546569" name="Chart 10815465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anchor>
        </w:drawing>
      </w:r>
      <w:r w:rsidR="00B10745" w:rsidRPr="00764FC3">
        <w:rPr>
          <w:rFonts w:cstheme="majorHAnsi"/>
        </w:rPr>
        <w:t xml:space="preserve">Prosečni učinak opštine Podujevo u </w:t>
      </w:r>
      <w:r>
        <w:rPr>
          <w:rFonts w:cstheme="majorHAnsi"/>
        </w:rPr>
        <w:t>29</w:t>
      </w:r>
      <w:r w:rsidR="00B10745" w:rsidRPr="00764FC3">
        <w:rPr>
          <w:rFonts w:cstheme="majorHAnsi"/>
        </w:rPr>
        <w:t xml:space="preserve"> procenjenih pokazatelja je 48 bodova od ukupno 9</w:t>
      </w:r>
      <w:r>
        <w:rPr>
          <w:rFonts w:cstheme="majorHAnsi"/>
        </w:rPr>
        <w:t>8</w:t>
      </w:r>
      <w:r w:rsidR="00B10745" w:rsidRPr="00764FC3">
        <w:rPr>
          <w:rFonts w:cstheme="majorHAnsi"/>
        </w:rPr>
        <w:t xml:space="preserve"> mogućih bodova (</w:t>
      </w:r>
      <w:r>
        <w:rPr>
          <w:rFonts w:cstheme="majorHAnsi"/>
        </w:rPr>
        <w:t>52.04</w:t>
      </w:r>
      <w:r w:rsidR="00B10745" w:rsidRPr="00764FC3">
        <w:rPr>
          <w:rFonts w:cstheme="majorHAnsi"/>
        </w:rPr>
        <w:t>%).</w:t>
      </w:r>
      <w:r w:rsidR="00B10745" w:rsidRPr="00764FC3">
        <w:t xml:space="preserve"> </w:t>
      </w:r>
    </w:p>
    <w:p w14:paraId="6F7413B5" w14:textId="5424095C" w:rsidR="00B10745" w:rsidRPr="00764FC3" w:rsidRDefault="00B10745" w:rsidP="00B10745">
      <w:pPr>
        <w:jc w:val="both"/>
        <w:rPr>
          <w:rFonts w:cstheme="majorHAnsi"/>
        </w:rPr>
      </w:pPr>
      <w:r w:rsidRPr="00764FC3">
        <w:rPr>
          <w:rFonts w:cstheme="majorHAnsi"/>
        </w:rPr>
        <w:t xml:space="preserve">Prosečni učinak u </w:t>
      </w:r>
      <w:r w:rsidR="00933757">
        <w:rPr>
          <w:rFonts w:cstheme="majorHAnsi"/>
        </w:rPr>
        <w:t>13</w:t>
      </w:r>
      <w:r w:rsidRPr="00764FC3">
        <w:rPr>
          <w:rFonts w:cstheme="majorHAnsi"/>
        </w:rPr>
        <w:t xml:space="preserve"> pokazatelja procenjenih u okviru oblasti ‘Demokratsko upravljanje’ je </w:t>
      </w:r>
      <w:r w:rsidR="00933757">
        <w:rPr>
          <w:rFonts w:cstheme="majorHAnsi"/>
        </w:rPr>
        <w:t>26</w:t>
      </w:r>
      <w:r w:rsidRPr="00764FC3">
        <w:rPr>
          <w:rFonts w:cstheme="majorHAnsi"/>
        </w:rPr>
        <w:t xml:space="preserve"> bodova od ukupno </w:t>
      </w:r>
      <w:r w:rsidR="00933757">
        <w:rPr>
          <w:rFonts w:cstheme="majorHAnsi"/>
        </w:rPr>
        <w:t>40</w:t>
      </w:r>
      <w:r w:rsidRPr="00764FC3">
        <w:rPr>
          <w:rFonts w:cstheme="majorHAnsi"/>
        </w:rPr>
        <w:t xml:space="preserve"> mogućih bodova (</w:t>
      </w:r>
      <w:r w:rsidR="00933757">
        <w:rPr>
          <w:rFonts w:cstheme="majorHAnsi"/>
        </w:rPr>
        <w:t>65.00</w:t>
      </w:r>
      <w:r w:rsidRPr="00764FC3">
        <w:rPr>
          <w:rFonts w:cstheme="majorHAnsi"/>
        </w:rPr>
        <w:t>%).</w:t>
      </w:r>
    </w:p>
    <w:p w14:paraId="5324FF50" w14:textId="0E9ED844"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933757">
        <w:rPr>
          <w:rFonts w:cstheme="majorHAnsi"/>
        </w:rPr>
        <w:t>13</w:t>
      </w:r>
      <w:r w:rsidRPr="00764FC3">
        <w:rPr>
          <w:rFonts w:cstheme="majorHAnsi"/>
        </w:rPr>
        <w:t xml:space="preserve"> bodova od ukupno 2</w:t>
      </w:r>
      <w:r w:rsidR="00933757">
        <w:rPr>
          <w:rFonts w:cstheme="majorHAnsi"/>
        </w:rPr>
        <w:t>8</w:t>
      </w:r>
      <w:r w:rsidRPr="00764FC3">
        <w:rPr>
          <w:rFonts w:cstheme="majorHAnsi"/>
        </w:rPr>
        <w:t xml:space="preserve"> mogućih bodova (</w:t>
      </w:r>
      <w:r w:rsidR="00933757">
        <w:rPr>
          <w:rFonts w:cstheme="majorHAnsi"/>
        </w:rPr>
        <w:t>46.43</w:t>
      </w:r>
      <w:r w:rsidRPr="00764FC3">
        <w:rPr>
          <w:rFonts w:cstheme="majorHAnsi"/>
        </w:rPr>
        <w:t>%).</w:t>
      </w:r>
    </w:p>
    <w:p w14:paraId="4D6383F1" w14:textId="28DFAA08" w:rsidR="00B10745" w:rsidRPr="00764FC3" w:rsidRDefault="00B10745" w:rsidP="00B10745">
      <w:pPr>
        <w:jc w:val="both"/>
        <w:rPr>
          <w:rFonts w:cstheme="majorHAnsi"/>
        </w:rPr>
      </w:pPr>
      <w:r w:rsidRPr="00764FC3">
        <w:rPr>
          <w:rFonts w:cstheme="majorHAnsi"/>
        </w:rPr>
        <w:t xml:space="preserve">Prosečni učinak u </w:t>
      </w:r>
      <w:r w:rsidR="00933757">
        <w:rPr>
          <w:rFonts w:cstheme="majorHAnsi"/>
        </w:rPr>
        <w:t>9</w:t>
      </w:r>
      <w:r w:rsidRPr="00764FC3">
        <w:rPr>
          <w:rFonts w:cstheme="majorHAnsi"/>
        </w:rPr>
        <w:t xml:space="preserve"> pokazatelja procenjenih u okviru oblasti ‘Pružanje usluga’ je </w:t>
      </w:r>
      <w:r w:rsidR="00933757">
        <w:rPr>
          <w:rFonts w:cstheme="majorHAnsi"/>
        </w:rPr>
        <w:t>12</w:t>
      </w:r>
      <w:r w:rsidRPr="00764FC3">
        <w:rPr>
          <w:rFonts w:cstheme="majorHAnsi"/>
        </w:rPr>
        <w:t xml:space="preserve"> bodova od ukupno </w:t>
      </w:r>
      <w:r w:rsidR="00A669FD">
        <w:rPr>
          <w:rFonts w:cstheme="majorHAnsi"/>
        </w:rPr>
        <w:t>30</w:t>
      </w:r>
      <w:r w:rsidRPr="00764FC3">
        <w:rPr>
          <w:rFonts w:cstheme="majorHAnsi"/>
        </w:rPr>
        <w:t xml:space="preserve"> mogućih bodova (</w:t>
      </w:r>
      <w:r w:rsidR="00A669FD">
        <w:rPr>
          <w:rFonts w:cstheme="majorHAnsi"/>
        </w:rPr>
        <w:t>40.00</w:t>
      </w:r>
      <w:r w:rsidRPr="00764FC3">
        <w:rPr>
          <w:rFonts w:cstheme="majorHAnsi"/>
        </w:rPr>
        <w:t>%).</w:t>
      </w:r>
    </w:p>
    <w:p w14:paraId="252A609B"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65C8E336" w14:textId="278ACC33" w:rsidR="00B10745" w:rsidRPr="00764FC3" w:rsidRDefault="00B10745" w:rsidP="00B10745">
      <w:pPr>
        <w:jc w:val="both"/>
        <w:rPr>
          <w:b/>
          <w:bCs/>
        </w:rPr>
      </w:pPr>
      <w:bookmarkStart w:id="50" w:name="_Toc99363476"/>
      <w:r w:rsidRPr="00764FC3">
        <w:rPr>
          <w:b/>
          <w:bCs/>
        </w:rPr>
        <w:lastRenderedPageBreak/>
        <w:t xml:space="preserve">Rezime rezultata za </w:t>
      </w:r>
      <w:r w:rsidR="00F41E1B">
        <w:rPr>
          <w:b/>
          <w:bCs/>
        </w:rPr>
        <w:t>2024</w:t>
      </w:r>
      <w:r w:rsidRPr="00764FC3">
        <w:rPr>
          <w:b/>
          <w:bCs/>
        </w:rPr>
        <w:t>. godinu za grant opštinskog učinka – Opština Priština</w:t>
      </w:r>
      <w:bookmarkEnd w:id="50"/>
    </w:p>
    <w:p w14:paraId="66C184B4" w14:textId="25F70B34" w:rsidR="00B10745" w:rsidRPr="00764FC3" w:rsidRDefault="00B10745" w:rsidP="00B10745">
      <w:pPr>
        <w:rPr>
          <w:rFonts w:eastAsiaTheme="majorEastAsia" w:cstheme="majorBidi"/>
          <w:b/>
        </w:rPr>
      </w:pPr>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6BA988A8" w14:textId="11758191" w:rsidR="00820673" w:rsidRPr="00764FC3" w:rsidRDefault="00A669FD" w:rsidP="00820673">
      <w:pPr>
        <w:jc w:val="both"/>
        <w:rPr>
          <w:rFonts w:cstheme="majorHAnsi"/>
          <w:lang w:val="sr-Latn-RS"/>
        </w:rPr>
      </w:pPr>
      <w:r>
        <w:rPr>
          <w:noProof/>
          <w:lang w:val="en-GB" w:eastAsia="en-GB"/>
          <w14:ligatures w14:val="standardContextual"/>
        </w:rPr>
        <w:drawing>
          <wp:anchor distT="0" distB="0" distL="114300" distR="114300" simplePos="0" relativeHeight="251863040" behindDoc="0" locked="0" layoutInCell="1" allowOverlap="1" wp14:anchorId="13F0573A" wp14:editId="6F7AB93B">
            <wp:simplePos x="0" y="0"/>
            <wp:positionH relativeFrom="column">
              <wp:posOffset>1781175</wp:posOffset>
            </wp:positionH>
            <wp:positionV relativeFrom="paragraph">
              <wp:posOffset>66675</wp:posOffset>
            </wp:positionV>
            <wp:extent cx="3840480" cy="2257200"/>
            <wp:effectExtent l="0" t="0" r="7620" b="10160"/>
            <wp:wrapSquare wrapText="bothSides"/>
            <wp:docPr id="1081546570" name="Chart 108154657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14:sizeRelV relativeFrom="margin">
              <wp14:pctHeight>0</wp14:pctHeight>
            </wp14:sizeRelV>
          </wp:anchor>
        </w:drawing>
      </w:r>
      <w:r w:rsidR="00B10745" w:rsidRPr="00764FC3">
        <w:rPr>
          <w:rFonts w:cstheme="majorHAnsi"/>
        </w:rPr>
        <w:t xml:space="preserve">Opština Priština se nije kvalifikovala </w:t>
      </w:r>
      <w:r w:rsidR="00820673" w:rsidRPr="00764FC3">
        <w:rPr>
          <w:rFonts w:cstheme="majorHAnsi"/>
          <w:lang w:val="sr-Latn-RS"/>
        </w:rPr>
        <w:t>za grant za opštinski učinak za 202</w:t>
      </w:r>
      <w:r>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r w:rsidR="0053030F" w:rsidRPr="00764FC3">
        <w:rPr>
          <w:rFonts w:cstheme="majorHAnsi"/>
          <w:lang w:val="sr-Latn-RS"/>
        </w:rPr>
        <w:t xml:space="preserve"> </w:t>
      </w:r>
    </w:p>
    <w:p w14:paraId="6BCAE284" w14:textId="61EC7563" w:rsidR="00B10745" w:rsidRPr="00764FC3" w:rsidRDefault="00B10745" w:rsidP="00B10745">
      <w:pPr>
        <w:jc w:val="both"/>
        <w:rPr>
          <w:rFonts w:cstheme="majorHAnsi"/>
        </w:rPr>
      </w:pPr>
      <w:r w:rsidRPr="00764FC3">
        <w:rPr>
          <w:rFonts w:cstheme="majorHAnsi"/>
        </w:rPr>
        <w:t>Minimalni uslovi: broj 2 (opštine moraju preispitati sve opštinske akte koje su nadzorni organi ocenili kao nezakonite u skladu sa zakonskim zahtevima) i broj 3 (revizorsko mišljenje mora biti najmanje nemodifikovano sa akcentom na to pitanje); broj 4 (Opštine moraju potrošiti 75% ili više završnog budžeta na kapitalne investicije) nisu ispunjeni.</w:t>
      </w:r>
    </w:p>
    <w:p w14:paraId="6160CA54" w14:textId="77777777" w:rsidR="00B10745" w:rsidRPr="00764FC3" w:rsidRDefault="00B10745" w:rsidP="00B10745">
      <w:pPr>
        <w:tabs>
          <w:tab w:val="left" w:pos="1190"/>
        </w:tabs>
      </w:pPr>
    </w:p>
    <w:p w14:paraId="593ED367" w14:textId="6F87FF7E"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5A40FCEB" w14:textId="13248B3C" w:rsidR="00B10745" w:rsidRPr="00764FC3" w:rsidRDefault="00A669FD" w:rsidP="00B10745">
      <w:pPr>
        <w:jc w:val="both"/>
        <w:rPr>
          <w:rFonts w:cstheme="majorHAnsi"/>
        </w:rPr>
      </w:pPr>
      <w:r>
        <w:rPr>
          <w:noProof/>
          <w:lang w:val="en-GB" w:eastAsia="en-GB"/>
          <w14:ligatures w14:val="standardContextual"/>
        </w:rPr>
        <w:drawing>
          <wp:anchor distT="0" distB="0" distL="114300" distR="114300" simplePos="0" relativeHeight="251864064" behindDoc="0" locked="0" layoutInCell="1" allowOverlap="1" wp14:anchorId="6539B842" wp14:editId="16A4A6CB">
            <wp:simplePos x="0" y="0"/>
            <wp:positionH relativeFrom="column">
              <wp:posOffset>1781175</wp:posOffset>
            </wp:positionH>
            <wp:positionV relativeFrom="paragraph">
              <wp:posOffset>380365</wp:posOffset>
            </wp:positionV>
            <wp:extent cx="3840480" cy="2743200"/>
            <wp:effectExtent l="0" t="0" r="7620" b="0"/>
            <wp:wrapSquare wrapText="bothSides"/>
            <wp:docPr id="1081546571" name="Chart 10815465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anchor>
        </w:drawing>
      </w:r>
      <w:r w:rsidR="00B10745" w:rsidRPr="00764FC3">
        <w:rPr>
          <w:rFonts w:cstheme="majorHAnsi"/>
        </w:rPr>
        <w:t>Prosečni učinak Opštine Priština u 2</w:t>
      </w:r>
      <w:r>
        <w:rPr>
          <w:rFonts w:cstheme="majorHAnsi"/>
        </w:rPr>
        <w:t>9</w:t>
      </w:r>
      <w:r w:rsidR="00B10745" w:rsidRPr="00764FC3">
        <w:rPr>
          <w:rFonts w:cstheme="majorHAnsi"/>
        </w:rPr>
        <w:t xml:space="preserve"> procenjenih pokazatelja je </w:t>
      </w:r>
      <w:r>
        <w:rPr>
          <w:rFonts w:cstheme="majorHAnsi"/>
        </w:rPr>
        <w:t>29</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29.59</w:t>
      </w:r>
      <w:r w:rsidR="00B10745" w:rsidRPr="00764FC3">
        <w:rPr>
          <w:rFonts w:cstheme="majorHAnsi"/>
        </w:rPr>
        <w:t>%).</w:t>
      </w:r>
      <w:r w:rsidR="00B10745" w:rsidRPr="00764FC3">
        <w:t xml:space="preserve"> </w:t>
      </w:r>
    </w:p>
    <w:p w14:paraId="0A33AFCC" w14:textId="6C682BC3" w:rsidR="00B10745" w:rsidRPr="00764FC3" w:rsidRDefault="00B10745" w:rsidP="00B10745">
      <w:pPr>
        <w:jc w:val="both"/>
        <w:rPr>
          <w:rFonts w:cstheme="majorHAnsi"/>
        </w:rPr>
      </w:pPr>
      <w:r w:rsidRPr="00764FC3">
        <w:rPr>
          <w:rFonts w:cstheme="majorHAnsi"/>
        </w:rPr>
        <w:t>Prosečni učinak u 1</w:t>
      </w:r>
      <w:r w:rsidR="00A669FD">
        <w:rPr>
          <w:rFonts w:cstheme="majorHAnsi"/>
        </w:rPr>
        <w:t>3</w:t>
      </w:r>
      <w:r w:rsidRPr="00764FC3">
        <w:rPr>
          <w:rFonts w:cstheme="majorHAnsi"/>
        </w:rPr>
        <w:t xml:space="preserve"> pokazatelja procenjenih u okviru oblasti ‘Demokratsko upravljanje’ iznosi 8 bodova od ukupno </w:t>
      </w:r>
      <w:r w:rsidR="00A669FD">
        <w:rPr>
          <w:rFonts w:cstheme="majorHAnsi"/>
        </w:rPr>
        <w:t>40</w:t>
      </w:r>
      <w:r w:rsidRPr="00764FC3">
        <w:rPr>
          <w:rFonts w:cstheme="majorHAnsi"/>
        </w:rPr>
        <w:t xml:space="preserve"> mogućih bodova (</w:t>
      </w:r>
      <w:r w:rsidR="00A669FD">
        <w:rPr>
          <w:rFonts w:cstheme="majorHAnsi"/>
        </w:rPr>
        <w:t>12.50</w:t>
      </w:r>
      <w:r w:rsidRPr="00764FC3">
        <w:rPr>
          <w:rFonts w:cstheme="majorHAnsi"/>
        </w:rPr>
        <w:t>%).</w:t>
      </w:r>
    </w:p>
    <w:p w14:paraId="7BEBD236" w14:textId="2F916A35"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A669FD">
        <w:rPr>
          <w:rFonts w:cstheme="majorHAnsi"/>
        </w:rPr>
        <w:t>16</w:t>
      </w:r>
      <w:r w:rsidRPr="00764FC3">
        <w:rPr>
          <w:rFonts w:cstheme="majorHAnsi"/>
        </w:rPr>
        <w:t xml:space="preserve"> bodova od ukupno </w:t>
      </w:r>
      <w:r w:rsidR="00A669FD">
        <w:rPr>
          <w:rFonts w:cstheme="majorHAnsi"/>
        </w:rPr>
        <w:t>28</w:t>
      </w:r>
      <w:r w:rsidRPr="00764FC3">
        <w:rPr>
          <w:rFonts w:cstheme="majorHAnsi"/>
        </w:rPr>
        <w:t xml:space="preserve"> mogućih bodova (</w:t>
      </w:r>
      <w:r w:rsidR="00A669FD">
        <w:rPr>
          <w:rFonts w:cstheme="majorHAnsi"/>
        </w:rPr>
        <w:t>57.14</w:t>
      </w:r>
      <w:r w:rsidRPr="00764FC3">
        <w:rPr>
          <w:rFonts w:cstheme="majorHAnsi"/>
        </w:rPr>
        <w:t>%).</w:t>
      </w:r>
    </w:p>
    <w:p w14:paraId="20EC6F29" w14:textId="61FCD1AE" w:rsidR="00B10745" w:rsidRPr="00764FC3" w:rsidRDefault="00B10745" w:rsidP="00B10745">
      <w:pPr>
        <w:jc w:val="both"/>
        <w:rPr>
          <w:rFonts w:cstheme="majorHAnsi"/>
        </w:rPr>
      </w:pPr>
      <w:r w:rsidRPr="00764FC3">
        <w:rPr>
          <w:rFonts w:cstheme="majorHAnsi"/>
        </w:rPr>
        <w:t xml:space="preserve">Prosečni učinak u </w:t>
      </w:r>
      <w:r w:rsidR="00A669FD">
        <w:rPr>
          <w:rFonts w:cstheme="majorHAnsi"/>
        </w:rPr>
        <w:t>9</w:t>
      </w:r>
      <w:r w:rsidRPr="00764FC3">
        <w:rPr>
          <w:rFonts w:cstheme="majorHAnsi"/>
        </w:rPr>
        <w:t xml:space="preserve"> pokazatelja procenjenih u okviru oblasti ‘Pružanje usluga’ je </w:t>
      </w:r>
      <w:r w:rsidR="00A669FD">
        <w:rPr>
          <w:rFonts w:cstheme="majorHAnsi"/>
        </w:rPr>
        <w:t>8</w:t>
      </w:r>
      <w:r w:rsidRPr="00764FC3">
        <w:rPr>
          <w:rFonts w:cstheme="majorHAnsi"/>
        </w:rPr>
        <w:t xml:space="preserve"> bodova od ukupno </w:t>
      </w:r>
      <w:r w:rsidR="00A669FD">
        <w:rPr>
          <w:rFonts w:cstheme="majorHAnsi"/>
        </w:rPr>
        <w:t>30</w:t>
      </w:r>
      <w:r w:rsidRPr="00764FC3">
        <w:rPr>
          <w:rFonts w:cstheme="majorHAnsi"/>
        </w:rPr>
        <w:t xml:space="preserve"> mogućih bodova (</w:t>
      </w:r>
      <w:r w:rsidR="00A669FD">
        <w:rPr>
          <w:rFonts w:cstheme="majorHAnsi"/>
        </w:rPr>
        <w:t>26.67</w:t>
      </w:r>
      <w:r w:rsidRPr="00764FC3">
        <w:rPr>
          <w:rFonts w:cstheme="majorHAnsi"/>
        </w:rPr>
        <w:t>%).</w:t>
      </w:r>
    </w:p>
    <w:p w14:paraId="58A362AF"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0F0DB91B" w14:textId="6B7679B8" w:rsidR="00B10745" w:rsidRPr="00764FC3" w:rsidRDefault="00B10745" w:rsidP="00B10745">
      <w:pPr>
        <w:jc w:val="both"/>
        <w:rPr>
          <w:b/>
          <w:bCs/>
        </w:rPr>
      </w:pPr>
      <w:bookmarkStart w:id="51" w:name="_Toc99363477"/>
      <w:r w:rsidRPr="00764FC3">
        <w:rPr>
          <w:b/>
          <w:bCs/>
        </w:rPr>
        <w:lastRenderedPageBreak/>
        <w:t xml:space="preserve">Rezime rezultata za </w:t>
      </w:r>
      <w:r w:rsidR="00F41E1B">
        <w:rPr>
          <w:b/>
          <w:bCs/>
        </w:rPr>
        <w:t>2024</w:t>
      </w:r>
      <w:r w:rsidRPr="00764FC3">
        <w:rPr>
          <w:b/>
          <w:bCs/>
        </w:rPr>
        <w:t>. godinu za grant opštinskog učinka - Opština Prizren</w:t>
      </w:r>
      <w:bookmarkEnd w:id="51"/>
    </w:p>
    <w:p w14:paraId="1C82F902" w14:textId="287CA2C3" w:rsidR="00B10745" w:rsidRPr="00764FC3" w:rsidRDefault="00A669FD" w:rsidP="00B10745">
      <w:pPr>
        <w:rPr>
          <w:rFonts w:eastAsiaTheme="majorEastAsia" w:cstheme="majorBidi"/>
          <w:b/>
        </w:rPr>
      </w:pPr>
      <w:r>
        <w:rPr>
          <w:noProof/>
          <w:lang w:val="en-GB" w:eastAsia="en-GB"/>
          <w14:ligatures w14:val="standardContextual"/>
        </w:rPr>
        <w:drawing>
          <wp:anchor distT="0" distB="0" distL="114300" distR="114300" simplePos="0" relativeHeight="251865088" behindDoc="0" locked="0" layoutInCell="1" allowOverlap="1" wp14:anchorId="125FD408" wp14:editId="5220F003">
            <wp:simplePos x="0" y="0"/>
            <wp:positionH relativeFrom="column">
              <wp:posOffset>2114550</wp:posOffset>
            </wp:positionH>
            <wp:positionV relativeFrom="paragraph">
              <wp:posOffset>285750</wp:posOffset>
            </wp:positionV>
            <wp:extent cx="3840480" cy="2257200"/>
            <wp:effectExtent l="0" t="0" r="7620" b="10160"/>
            <wp:wrapSquare wrapText="bothSides"/>
            <wp:docPr id="1081546572" name="Chart 108154657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14:sizeRelV relativeFrom="margin">
              <wp14:pctHeight>0</wp14:pctHeight>
            </wp14:sizeRelV>
          </wp:anchor>
        </w:drawing>
      </w:r>
      <w:r w:rsidR="00B10745" w:rsidRPr="00764FC3">
        <w:rPr>
          <w:rFonts w:eastAsiaTheme="majorEastAsia" w:cstheme="majorBidi"/>
          <w:b/>
        </w:rPr>
        <w:t xml:space="preserve">Procena minimalnih uslova za </w:t>
      </w:r>
      <w:r w:rsidR="00F41E1B">
        <w:rPr>
          <w:rFonts w:eastAsiaTheme="majorEastAsia" w:cstheme="majorBidi"/>
          <w:b/>
        </w:rPr>
        <w:t>2024</w:t>
      </w:r>
      <w:r w:rsidR="00B10745" w:rsidRPr="00764FC3">
        <w:rPr>
          <w:rFonts w:eastAsiaTheme="majorEastAsia" w:cstheme="majorBidi"/>
          <w:b/>
        </w:rPr>
        <w:t>. godinu</w:t>
      </w:r>
    </w:p>
    <w:p w14:paraId="152240DF" w14:textId="198CED66" w:rsidR="00820673" w:rsidRPr="00764FC3" w:rsidRDefault="00B10745" w:rsidP="00820673">
      <w:pPr>
        <w:jc w:val="both"/>
        <w:rPr>
          <w:rFonts w:cstheme="majorHAnsi"/>
          <w:lang w:val="sr-Latn-RS"/>
        </w:rPr>
      </w:pPr>
      <w:r w:rsidRPr="00764FC3">
        <w:rPr>
          <w:rFonts w:eastAsiaTheme="majorEastAsia" w:cstheme="majorHAnsi"/>
        </w:rPr>
        <w:t xml:space="preserve">Opština Prizren se </w:t>
      </w:r>
      <w:r w:rsidR="00A669FD">
        <w:rPr>
          <w:rFonts w:eastAsiaTheme="majorEastAsia" w:cstheme="majorHAnsi"/>
        </w:rPr>
        <w:t xml:space="preserve">nije </w:t>
      </w:r>
      <w:r w:rsidRPr="00764FC3">
        <w:rPr>
          <w:rFonts w:eastAsiaTheme="majorEastAsia" w:cstheme="majorHAnsi"/>
        </w:rPr>
        <w:t xml:space="preserve">kvalifikovala </w:t>
      </w:r>
      <w:r w:rsidR="00820673" w:rsidRPr="00764FC3">
        <w:rPr>
          <w:rFonts w:cstheme="majorHAnsi"/>
          <w:lang w:val="sr-Latn-RS"/>
        </w:rPr>
        <w:t>za grant za opštinski učinak za 202</w:t>
      </w:r>
      <w:r w:rsidR="00A669FD">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p>
    <w:p w14:paraId="67977E0B" w14:textId="642E2CBA" w:rsidR="00B10745" w:rsidRPr="00764FC3" w:rsidRDefault="00B10745" w:rsidP="00B10745">
      <w:pPr>
        <w:jc w:val="both"/>
        <w:rPr>
          <w:rFonts w:eastAsiaTheme="majorEastAsia" w:cstheme="majorHAnsi"/>
        </w:rPr>
      </w:pPr>
    </w:p>
    <w:p w14:paraId="093BF32A" w14:textId="77777777" w:rsidR="00A669FD" w:rsidRPr="00764FC3" w:rsidRDefault="00A669FD" w:rsidP="00A669FD">
      <w:pPr>
        <w:jc w:val="both"/>
      </w:pPr>
      <w:r w:rsidRPr="00764FC3">
        <w:rPr>
          <w:rFonts w:cstheme="majorHAnsi"/>
        </w:rPr>
        <w:t>Minimalni uslov broj 3 (revizorsko mišljenje mora biti najmanje nemodifikovano sa isticanjem materije</w:t>
      </w:r>
      <w:r w:rsidRPr="00764FC3">
        <w:t>) nije ispunjen.</w:t>
      </w:r>
    </w:p>
    <w:p w14:paraId="1DC18B9A" w14:textId="77777777" w:rsidR="00B10745" w:rsidRPr="00764FC3" w:rsidRDefault="00B10745" w:rsidP="00B10745">
      <w:pPr>
        <w:rPr>
          <w:b/>
        </w:rPr>
      </w:pPr>
    </w:p>
    <w:p w14:paraId="25154646" w14:textId="77777777" w:rsidR="00B10745" w:rsidRPr="00764FC3" w:rsidRDefault="00B10745" w:rsidP="00B10745">
      <w:pPr>
        <w:rPr>
          <w:b/>
        </w:rPr>
      </w:pPr>
    </w:p>
    <w:p w14:paraId="3C35AF2A" w14:textId="6622D3B3"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728DBFE3" w14:textId="788ECC9D" w:rsidR="00B10745" w:rsidRPr="00764FC3" w:rsidRDefault="00A669FD" w:rsidP="00B10745">
      <w:pPr>
        <w:jc w:val="both"/>
        <w:rPr>
          <w:rFonts w:cstheme="majorHAnsi"/>
        </w:rPr>
      </w:pPr>
      <w:bookmarkStart w:id="52" w:name="_Toc99363478"/>
      <w:r>
        <w:rPr>
          <w:noProof/>
          <w:lang w:val="en-GB" w:eastAsia="en-GB"/>
          <w14:ligatures w14:val="standardContextual"/>
        </w:rPr>
        <w:drawing>
          <wp:anchor distT="0" distB="0" distL="114300" distR="114300" simplePos="0" relativeHeight="251866112" behindDoc="0" locked="0" layoutInCell="1" allowOverlap="1" wp14:anchorId="5E36B958" wp14:editId="07FB24E6">
            <wp:simplePos x="0" y="0"/>
            <wp:positionH relativeFrom="column">
              <wp:posOffset>2057400</wp:posOffset>
            </wp:positionH>
            <wp:positionV relativeFrom="paragraph">
              <wp:posOffset>220980</wp:posOffset>
            </wp:positionV>
            <wp:extent cx="3840480" cy="2743200"/>
            <wp:effectExtent l="0" t="0" r="7620" b="0"/>
            <wp:wrapSquare wrapText="bothSides"/>
            <wp:docPr id="1081546573" name="Chart 10815465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anchor>
        </w:drawing>
      </w:r>
      <w:r w:rsidR="00B10745" w:rsidRPr="00764FC3">
        <w:rPr>
          <w:rFonts w:cstheme="majorHAnsi"/>
        </w:rPr>
        <w:t xml:space="preserve">Prosečni učinak opštine Prizren </w:t>
      </w:r>
      <w:bookmarkEnd w:id="52"/>
      <w:r w:rsidR="00B10745" w:rsidRPr="00764FC3">
        <w:rPr>
          <w:rFonts w:cstheme="majorHAnsi"/>
        </w:rPr>
        <w:t>u 2</w:t>
      </w:r>
      <w:r>
        <w:rPr>
          <w:rFonts w:cstheme="majorHAnsi"/>
        </w:rPr>
        <w:t>9</w:t>
      </w:r>
      <w:r w:rsidR="00B10745" w:rsidRPr="00764FC3">
        <w:rPr>
          <w:rFonts w:cstheme="majorHAnsi"/>
        </w:rPr>
        <w:t xml:space="preserve"> procenjenih pokazatelja je </w:t>
      </w:r>
      <w:r>
        <w:rPr>
          <w:rFonts w:cstheme="majorHAnsi"/>
        </w:rPr>
        <w:t>71</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72.45</w:t>
      </w:r>
      <w:r w:rsidR="00B10745" w:rsidRPr="00764FC3">
        <w:rPr>
          <w:rFonts w:cstheme="majorHAnsi"/>
        </w:rPr>
        <w:t>%).</w:t>
      </w:r>
      <w:r w:rsidR="00B10745" w:rsidRPr="00764FC3">
        <w:t xml:space="preserve"> </w:t>
      </w:r>
    </w:p>
    <w:p w14:paraId="43075B4E" w14:textId="103CBBE0" w:rsidR="00B10745" w:rsidRPr="00764FC3" w:rsidRDefault="00B10745" w:rsidP="00B10745">
      <w:pPr>
        <w:jc w:val="both"/>
        <w:rPr>
          <w:rFonts w:cstheme="majorHAnsi"/>
        </w:rPr>
      </w:pPr>
      <w:r w:rsidRPr="00764FC3">
        <w:rPr>
          <w:rFonts w:cstheme="majorHAnsi"/>
        </w:rPr>
        <w:t xml:space="preserve">Prosečni učinak u </w:t>
      </w:r>
      <w:r w:rsidR="00A669FD">
        <w:rPr>
          <w:rFonts w:cstheme="majorHAnsi"/>
        </w:rPr>
        <w:t>13</w:t>
      </w:r>
      <w:r w:rsidRPr="00764FC3">
        <w:rPr>
          <w:rFonts w:cstheme="majorHAnsi"/>
        </w:rPr>
        <w:t xml:space="preserve"> pokazatelja procenjenih u okviru oblasti ‘Demokratsko upravljanje’ iznosi </w:t>
      </w:r>
      <w:r w:rsidR="00A669FD">
        <w:rPr>
          <w:rFonts w:cstheme="majorHAnsi"/>
        </w:rPr>
        <w:t>31</w:t>
      </w:r>
      <w:r w:rsidRPr="00764FC3">
        <w:rPr>
          <w:rFonts w:cstheme="majorHAnsi"/>
        </w:rPr>
        <w:t xml:space="preserve"> bod od ukupno </w:t>
      </w:r>
      <w:r w:rsidR="004D656E">
        <w:rPr>
          <w:rFonts w:cstheme="majorHAnsi"/>
        </w:rPr>
        <w:t>40</w:t>
      </w:r>
      <w:r w:rsidRPr="00764FC3">
        <w:rPr>
          <w:rFonts w:cstheme="majorHAnsi"/>
        </w:rPr>
        <w:t xml:space="preserve"> mogućih bodova (</w:t>
      </w:r>
      <w:r w:rsidR="004D656E">
        <w:rPr>
          <w:rFonts w:cstheme="majorHAnsi"/>
        </w:rPr>
        <w:t>77.50</w:t>
      </w:r>
      <w:r w:rsidRPr="00764FC3">
        <w:rPr>
          <w:rFonts w:cstheme="majorHAnsi"/>
        </w:rPr>
        <w:t>%).</w:t>
      </w:r>
    </w:p>
    <w:p w14:paraId="0C469249" w14:textId="30DFDFA1"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4D656E">
        <w:rPr>
          <w:rFonts w:cstheme="majorHAnsi"/>
        </w:rPr>
        <w:t>22</w:t>
      </w:r>
      <w:r w:rsidRPr="00764FC3">
        <w:rPr>
          <w:rFonts w:cstheme="majorHAnsi"/>
        </w:rPr>
        <w:t xml:space="preserve"> bodova od ukupno 2</w:t>
      </w:r>
      <w:r w:rsidR="004D656E">
        <w:rPr>
          <w:rFonts w:cstheme="majorHAnsi"/>
        </w:rPr>
        <w:t>8</w:t>
      </w:r>
      <w:r w:rsidRPr="00764FC3">
        <w:rPr>
          <w:rFonts w:cstheme="majorHAnsi"/>
        </w:rPr>
        <w:t xml:space="preserve"> mogućih bodova (</w:t>
      </w:r>
      <w:r w:rsidR="004D656E">
        <w:rPr>
          <w:rFonts w:cstheme="majorHAnsi"/>
        </w:rPr>
        <w:t>78.57</w:t>
      </w:r>
      <w:r w:rsidRPr="00764FC3">
        <w:rPr>
          <w:rFonts w:cstheme="majorHAnsi"/>
        </w:rPr>
        <w:t>%).</w:t>
      </w:r>
    </w:p>
    <w:p w14:paraId="0A66B0EC" w14:textId="768F95EE" w:rsidR="00B10745" w:rsidRPr="00764FC3" w:rsidRDefault="00B10745" w:rsidP="00B10745">
      <w:pPr>
        <w:jc w:val="both"/>
        <w:rPr>
          <w:rFonts w:cstheme="majorHAnsi"/>
        </w:rPr>
      </w:pPr>
      <w:r w:rsidRPr="00764FC3">
        <w:rPr>
          <w:rFonts w:cstheme="majorHAnsi"/>
        </w:rPr>
        <w:t xml:space="preserve">Prosečni učinak u </w:t>
      </w:r>
      <w:r w:rsidR="004D656E">
        <w:rPr>
          <w:rFonts w:cstheme="majorHAnsi"/>
        </w:rPr>
        <w:t>9</w:t>
      </w:r>
      <w:r w:rsidRPr="00764FC3">
        <w:rPr>
          <w:rFonts w:cstheme="majorHAnsi"/>
        </w:rPr>
        <w:t xml:space="preserve"> pokazatelja procenjenih u okviru oblasti ‘Pružanje usluga’ je </w:t>
      </w:r>
      <w:r w:rsidR="004D656E">
        <w:rPr>
          <w:rFonts w:cstheme="majorHAnsi"/>
        </w:rPr>
        <w:t>18</w:t>
      </w:r>
      <w:r w:rsidRPr="00764FC3">
        <w:rPr>
          <w:rFonts w:cstheme="majorHAnsi"/>
        </w:rPr>
        <w:t xml:space="preserve"> bodova od ukupno </w:t>
      </w:r>
      <w:r w:rsidR="004D656E">
        <w:rPr>
          <w:rFonts w:cstheme="majorHAnsi"/>
        </w:rPr>
        <w:t>30</w:t>
      </w:r>
      <w:r w:rsidRPr="00764FC3">
        <w:rPr>
          <w:rFonts w:cstheme="majorHAnsi"/>
        </w:rPr>
        <w:t xml:space="preserve"> mogućih bodova (</w:t>
      </w:r>
      <w:r w:rsidR="004D656E">
        <w:rPr>
          <w:rFonts w:cstheme="majorHAnsi"/>
        </w:rPr>
        <w:t>60.00</w:t>
      </w:r>
      <w:r w:rsidRPr="00764FC3">
        <w:rPr>
          <w:rFonts w:cstheme="majorHAnsi"/>
        </w:rPr>
        <w:t>%).</w:t>
      </w:r>
    </w:p>
    <w:p w14:paraId="209DFC44" w14:textId="77777777" w:rsidR="00B10745" w:rsidRPr="00764FC3" w:rsidRDefault="00B10745" w:rsidP="00B10745"/>
    <w:p w14:paraId="67E38ED3"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1FEB117E" w14:textId="587DB9C3"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Orahovac</w:t>
      </w:r>
    </w:p>
    <w:p w14:paraId="180AC446" w14:textId="2B752FC7" w:rsidR="00B10745" w:rsidRPr="00764FC3" w:rsidRDefault="004D656E" w:rsidP="00B10745">
      <w:pPr>
        <w:rPr>
          <w:rFonts w:eastAsiaTheme="majorEastAsia" w:cstheme="majorBidi"/>
          <w:b/>
        </w:rPr>
      </w:pPr>
      <w:r>
        <w:rPr>
          <w:noProof/>
          <w:lang w:val="en-GB" w:eastAsia="en-GB"/>
          <w14:ligatures w14:val="standardContextual"/>
        </w:rPr>
        <w:drawing>
          <wp:anchor distT="0" distB="0" distL="114300" distR="114300" simplePos="0" relativeHeight="251867136" behindDoc="0" locked="0" layoutInCell="1" allowOverlap="1" wp14:anchorId="042FA5B9" wp14:editId="54A48C5D">
            <wp:simplePos x="0" y="0"/>
            <wp:positionH relativeFrom="column">
              <wp:posOffset>2114550</wp:posOffset>
            </wp:positionH>
            <wp:positionV relativeFrom="paragraph">
              <wp:posOffset>285750</wp:posOffset>
            </wp:positionV>
            <wp:extent cx="3840480" cy="2257200"/>
            <wp:effectExtent l="0" t="0" r="7620" b="10160"/>
            <wp:wrapSquare wrapText="bothSides"/>
            <wp:docPr id="1081546574" name="Chart 10815465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14:sizeRelV relativeFrom="margin">
              <wp14:pctHeight>0</wp14:pctHeight>
            </wp14:sizeRelV>
          </wp:anchor>
        </w:drawing>
      </w:r>
      <w:r w:rsidR="00B10745" w:rsidRPr="00764FC3">
        <w:rPr>
          <w:rFonts w:eastAsiaTheme="majorEastAsia" w:cstheme="majorBidi"/>
          <w:b/>
        </w:rPr>
        <w:t xml:space="preserve">Procena minimalnih uslova za </w:t>
      </w:r>
      <w:r w:rsidR="00F41E1B">
        <w:rPr>
          <w:rFonts w:eastAsiaTheme="majorEastAsia" w:cstheme="majorBidi"/>
          <w:b/>
        </w:rPr>
        <w:t>2024</w:t>
      </w:r>
      <w:r w:rsidR="00B10745" w:rsidRPr="00764FC3">
        <w:rPr>
          <w:rFonts w:eastAsiaTheme="majorEastAsia" w:cstheme="majorBidi"/>
          <w:b/>
        </w:rPr>
        <w:t>. godinu</w:t>
      </w:r>
    </w:p>
    <w:p w14:paraId="46693A12" w14:textId="292FD7C3" w:rsidR="00820673" w:rsidRPr="00764FC3" w:rsidRDefault="00B10745" w:rsidP="00820673">
      <w:pPr>
        <w:jc w:val="both"/>
        <w:rPr>
          <w:rFonts w:cstheme="majorHAnsi"/>
          <w:lang w:val="sr-Latn-RS"/>
        </w:rPr>
      </w:pPr>
      <w:r w:rsidRPr="00764FC3">
        <w:rPr>
          <w:rFonts w:cstheme="majorHAnsi"/>
        </w:rPr>
        <w:t xml:space="preserve">Opština Orahovac se  kvalifikovala </w:t>
      </w:r>
      <w:bookmarkStart w:id="53" w:name="_Hlk114234586"/>
      <w:r w:rsidR="00820673" w:rsidRPr="00764FC3">
        <w:rPr>
          <w:rFonts w:cstheme="majorHAnsi"/>
          <w:lang w:val="sr-Latn-RS"/>
        </w:rPr>
        <w:t>za grant za opštinski učinak za 202</w:t>
      </w:r>
      <w:r w:rsidR="004D656E">
        <w:rPr>
          <w:rFonts w:cstheme="majorHAnsi"/>
          <w:lang w:val="sr-Latn-RS"/>
        </w:rPr>
        <w:t>6</w:t>
      </w:r>
      <w:r w:rsidR="00820673" w:rsidRPr="00764FC3">
        <w:rPr>
          <w:rFonts w:cstheme="majorHAnsi"/>
          <w:lang w:val="sr-Latn-RS"/>
        </w:rPr>
        <w:t xml:space="preserve">. godinu, na osnovu učinka za </w:t>
      </w:r>
      <w:r w:rsidR="00F41E1B">
        <w:rPr>
          <w:rFonts w:cstheme="majorHAnsi"/>
          <w:lang w:val="sr-Latn-RS"/>
        </w:rPr>
        <w:t>2024</w:t>
      </w:r>
      <w:r w:rsidR="00820673" w:rsidRPr="00764FC3">
        <w:rPr>
          <w:rFonts w:cstheme="majorHAnsi"/>
          <w:lang w:val="sr-Latn-RS"/>
        </w:rPr>
        <w:t>. godinu.</w:t>
      </w:r>
      <w:r w:rsidR="002A3089" w:rsidRPr="00764FC3">
        <w:rPr>
          <w:rFonts w:cstheme="majorHAnsi"/>
        </w:rPr>
        <w:t xml:space="preserve"> </w:t>
      </w:r>
    </w:p>
    <w:bookmarkEnd w:id="53"/>
    <w:p w14:paraId="7D1BAA39" w14:textId="77777777" w:rsidR="004D656E" w:rsidRPr="00764FC3" w:rsidRDefault="004D656E" w:rsidP="004D656E">
      <w:pPr>
        <w:jc w:val="both"/>
        <w:rPr>
          <w:rFonts w:cstheme="majorHAnsi"/>
        </w:rPr>
      </w:pPr>
      <w:r w:rsidRPr="00764FC3">
        <w:rPr>
          <w:rFonts w:cstheme="majorHAnsi"/>
        </w:rPr>
        <w:t>Opština je ispunila sva četiri minimalna uslova.</w:t>
      </w:r>
    </w:p>
    <w:p w14:paraId="29F17C54" w14:textId="77777777" w:rsidR="00B10745" w:rsidRPr="00764FC3" w:rsidRDefault="00B10745" w:rsidP="00B10745">
      <w:pPr>
        <w:tabs>
          <w:tab w:val="left" w:pos="1190"/>
        </w:tabs>
      </w:pPr>
    </w:p>
    <w:p w14:paraId="303B5BFD" w14:textId="77777777" w:rsidR="00B10745" w:rsidRPr="00764FC3" w:rsidRDefault="00B10745" w:rsidP="00B10745"/>
    <w:p w14:paraId="7044B899" w14:textId="77777777" w:rsidR="00B10745" w:rsidRPr="00764FC3" w:rsidRDefault="00B10745" w:rsidP="00B10745"/>
    <w:p w14:paraId="176AAE8F" w14:textId="77777777" w:rsidR="00B10745" w:rsidRPr="00764FC3" w:rsidRDefault="00B10745" w:rsidP="00B10745"/>
    <w:p w14:paraId="72B769DB" w14:textId="77777777" w:rsidR="00B10745" w:rsidRPr="00764FC3" w:rsidRDefault="00B10745" w:rsidP="00B10745"/>
    <w:p w14:paraId="0164E276" w14:textId="0B437B46"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16506B90" w14:textId="75D40713" w:rsidR="00B10745" w:rsidRPr="00764FC3" w:rsidRDefault="00B10745" w:rsidP="00B10745">
      <w:pPr>
        <w:jc w:val="both"/>
        <w:rPr>
          <w:rFonts w:cstheme="majorHAnsi"/>
        </w:rPr>
      </w:pPr>
      <w:r w:rsidRPr="00764FC3">
        <w:rPr>
          <w:rFonts w:cstheme="majorHAnsi"/>
        </w:rPr>
        <w:t>Prosečni učinak opštine Orahovac u 2</w:t>
      </w:r>
      <w:r w:rsidR="004D656E">
        <w:rPr>
          <w:rFonts w:cstheme="majorHAnsi"/>
        </w:rPr>
        <w:t>9</w:t>
      </w:r>
      <w:r w:rsidRPr="00764FC3">
        <w:rPr>
          <w:rFonts w:cstheme="majorHAnsi"/>
        </w:rPr>
        <w:t xml:space="preserve"> procenjenih pokazatelja je 7</w:t>
      </w:r>
      <w:r w:rsidR="004D656E">
        <w:rPr>
          <w:rFonts w:cstheme="majorHAnsi"/>
        </w:rPr>
        <w:t>2</w:t>
      </w:r>
      <w:r w:rsidRPr="00764FC3">
        <w:rPr>
          <w:rFonts w:cstheme="majorHAnsi"/>
        </w:rPr>
        <w:t xml:space="preserve"> bodova od ukupno 9</w:t>
      </w:r>
      <w:r w:rsidR="004D656E">
        <w:rPr>
          <w:rFonts w:cstheme="majorHAnsi"/>
        </w:rPr>
        <w:t>8</w:t>
      </w:r>
      <w:r w:rsidRPr="00764FC3">
        <w:rPr>
          <w:rFonts w:cstheme="majorHAnsi"/>
        </w:rPr>
        <w:t xml:space="preserve"> mogućih bodova (77,8%).</w:t>
      </w:r>
      <w:r w:rsidRPr="00764FC3">
        <w:t xml:space="preserve"> </w:t>
      </w:r>
    </w:p>
    <w:p w14:paraId="263B2A9D" w14:textId="21F77B0A" w:rsidR="00B10745" w:rsidRPr="00764FC3" w:rsidRDefault="004D656E" w:rsidP="00B10745">
      <w:pPr>
        <w:jc w:val="both"/>
        <w:rPr>
          <w:rFonts w:cstheme="majorHAnsi"/>
        </w:rPr>
      </w:pPr>
      <w:r>
        <w:rPr>
          <w:noProof/>
          <w:lang w:val="en-GB" w:eastAsia="en-GB"/>
          <w14:ligatures w14:val="standardContextual"/>
        </w:rPr>
        <w:drawing>
          <wp:anchor distT="0" distB="0" distL="114300" distR="114300" simplePos="0" relativeHeight="251868160" behindDoc="0" locked="0" layoutInCell="1" allowOverlap="1" wp14:anchorId="2F9F9EB2" wp14:editId="55F926B0">
            <wp:simplePos x="0" y="0"/>
            <wp:positionH relativeFrom="column">
              <wp:posOffset>1990725</wp:posOffset>
            </wp:positionH>
            <wp:positionV relativeFrom="paragraph">
              <wp:posOffset>-4445</wp:posOffset>
            </wp:positionV>
            <wp:extent cx="3840480" cy="2743200"/>
            <wp:effectExtent l="0" t="0" r="7620" b="0"/>
            <wp:wrapSquare wrapText="bothSides"/>
            <wp:docPr id="1081546575" name="Chart 108154657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anchor>
        </w:drawing>
      </w:r>
      <w:r w:rsidR="00B10745" w:rsidRPr="00764FC3">
        <w:rPr>
          <w:rFonts w:cstheme="majorHAnsi"/>
        </w:rPr>
        <w:t>Prosečni učinak u 1</w:t>
      </w:r>
      <w:r>
        <w:rPr>
          <w:rFonts w:cstheme="majorHAnsi"/>
        </w:rPr>
        <w:t>3</w:t>
      </w:r>
      <w:r w:rsidR="00B10745" w:rsidRPr="00764FC3">
        <w:rPr>
          <w:rFonts w:cstheme="majorHAnsi"/>
        </w:rPr>
        <w:t xml:space="preserve"> pokazatelja procenjenih u okviru oblasti ‘Demokratsko upravljanje’ iznosi 3</w:t>
      </w:r>
      <w:r>
        <w:rPr>
          <w:rFonts w:cstheme="majorHAnsi"/>
        </w:rPr>
        <w:t>8</w:t>
      </w:r>
      <w:r w:rsidR="00B10745" w:rsidRPr="00764FC3">
        <w:rPr>
          <w:rFonts w:cstheme="majorHAnsi"/>
        </w:rPr>
        <w:t xml:space="preserve"> bodova od ukupno </w:t>
      </w:r>
      <w:r>
        <w:rPr>
          <w:rFonts w:cstheme="majorHAnsi"/>
        </w:rPr>
        <w:t>40</w:t>
      </w:r>
      <w:r w:rsidR="00B10745" w:rsidRPr="00764FC3">
        <w:rPr>
          <w:rFonts w:cstheme="majorHAnsi"/>
        </w:rPr>
        <w:t xml:space="preserve"> mogućih bodova (</w:t>
      </w:r>
      <w:r>
        <w:rPr>
          <w:rFonts w:cstheme="majorHAnsi"/>
        </w:rPr>
        <w:t>95.00</w:t>
      </w:r>
      <w:r w:rsidR="00B10745" w:rsidRPr="00764FC3">
        <w:rPr>
          <w:rFonts w:cstheme="majorHAnsi"/>
        </w:rPr>
        <w:t>%).</w:t>
      </w:r>
    </w:p>
    <w:p w14:paraId="46DE89F6" w14:textId="0FD7EB76" w:rsidR="00B10745" w:rsidRPr="00764FC3" w:rsidRDefault="00B10745" w:rsidP="00B10745">
      <w:pPr>
        <w:jc w:val="both"/>
        <w:rPr>
          <w:rFonts w:cstheme="majorHAnsi"/>
        </w:rPr>
      </w:pPr>
      <w:r w:rsidRPr="00764FC3">
        <w:rPr>
          <w:rFonts w:cstheme="majorHAnsi"/>
        </w:rPr>
        <w:t>Prosečni učinak u 7 pokazatelja procenjenih u okviru oblasti ‘Opštinsko upravljanje’ je 1</w:t>
      </w:r>
      <w:r w:rsidR="004D656E">
        <w:rPr>
          <w:rFonts w:cstheme="majorHAnsi"/>
        </w:rPr>
        <w:t>7</w:t>
      </w:r>
      <w:r w:rsidRPr="00764FC3">
        <w:rPr>
          <w:rFonts w:cstheme="majorHAnsi"/>
        </w:rPr>
        <w:t xml:space="preserve"> bodova od ukupno 2</w:t>
      </w:r>
      <w:r w:rsidR="004D656E">
        <w:rPr>
          <w:rFonts w:cstheme="majorHAnsi"/>
        </w:rPr>
        <w:t>8</w:t>
      </w:r>
      <w:r w:rsidRPr="00764FC3">
        <w:rPr>
          <w:rFonts w:cstheme="majorHAnsi"/>
        </w:rPr>
        <w:t xml:space="preserve"> mogućih bodova (</w:t>
      </w:r>
      <w:r w:rsidR="004D656E">
        <w:rPr>
          <w:rFonts w:cstheme="majorHAnsi"/>
        </w:rPr>
        <w:t>60.71</w:t>
      </w:r>
      <w:r w:rsidRPr="00764FC3">
        <w:rPr>
          <w:rFonts w:cstheme="majorHAnsi"/>
        </w:rPr>
        <w:t>%).</w:t>
      </w:r>
    </w:p>
    <w:p w14:paraId="625F780C" w14:textId="19E3AFE4" w:rsidR="00B10745" w:rsidRPr="00764FC3" w:rsidRDefault="00B10745" w:rsidP="00B10745">
      <w:pPr>
        <w:jc w:val="both"/>
        <w:rPr>
          <w:rFonts w:cstheme="majorHAnsi"/>
        </w:rPr>
      </w:pPr>
      <w:r w:rsidRPr="00764FC3">
        <w:rPr>
          <w:rFonts w:cstheme="majorHAnsi"/>
        </w:rPr>
        <w:t xml:space="preserve">Prosečni učinak u </w:t>
      </w:r>
      <w:r w:rsidR="004D656E">
        <w:rPr>
          <w:rFonts w:cstheme="majorHAnsi"/>
        </w:rPr>
        <w:t>9</w:t>
      </w:r>
      <w:r w:rsidRPr="00764FC3">
        <w:rPr>
          <w:rFonts w:cstheme="majorHAnsi"/>
        </w:rPr>
        <w:t xml:space="preserve"> pokazatelja procenjenih u okviru oblasti ‘Pružanje usluga’ je 1</w:t>
      </w:r>
      <w:r w:rsidR="004D656E">
        <w:rPr>
          <w:rFonts w:cstheme="majorHAnsi"/>
        </w:rPr>
        <w:t>7</w:t>
      </w:r>
      <w:r w:rsidRPr="00764FC3">
        <w:rPr>
          <w:rFonts w:cstheme="majorHAnsi"/>
        </w:rPr>
        <w:t xml:space="preserve"> bodova od ukupno </w:t>
      </w:r>
      <w:r w:rsidR="004D656E">
        <w:rPr>
          <w:rFonts w:cstheme="majorHAnsi"/>
        </w:rPr>
        <w:t>30</w:t>
      </w:r>
      <w:r w:rsidRPr="00764FC3">
        <w:rPr>
          <w:rFonts w:cstheme="majorHAnsi"/>
        </w:rPr>
        <w:t xml:space="preserve"> mogućih bodova (</w:t>
      </w:r>
      <w:r w:rsidR="004D656E">
        <w:rPr>
          <w:rFonts w:cstheme="majorHAnsi"/>
        </w:rPr>
        <w:t>56.67</w:t>
      </w:r>
      <w:r w:rsidRPr="00764FC3">
        <w:rPr>
          <w:rFonts w:cstheme="majorHAnsi"/>
        </w:rPr>
        <w:t>%).</w:t>
      </w:r>
    </w:p>
    <w:p w14:paraId="038D4612" w14:textId="77777777" w:rsidR="00B10745" w:rsidRPr="00764FC3" w:rsidRDefault="00B10745" w:rsidP="00B10745"/>
    <w:p w14:paraId="5DC5CE9E" w14:textId="77777777" w:rsidR="00B10745" w:rsidRPr="00764FC3" w:rsidRDefault="00B10745" w:rsidP="00B10745">
      <w:pPr>
        <w:jc w:val="both"/>
      </w:pPr>
    </w:p>
    <w:p w14:paraId="08947871" w14:textId="77777777" w:rsidR="00B10745" w:rsidRPr="00764FC3" w:rsidRDefault="00B10745" w:rsidP="00B10745"/>
    <w:p w14:paraId="4C676F65"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37295B72" w14:textId="530AD301"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Ranilug</w:t>
      </w:r>
    </w:p>
    <w:p w14:paraId="48A5F184" w14:textId="2F4926AC"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212F2B46" w14:textId="4FF4E68F" w:rsidR="00B10745" w:rsidRPr="00764FC3" w:rsidRDefault="004D656E" w:rsidP="00B10745">
      <w:pPr>
        <w:jc w:val="both"/>
        <w:rPr>
          <w:rFonts w:cstheme="majorHAnsi"/>
        </w:rPr>
      </w:pPr>
      <w:r>
        <w:rPr>
          <w:noProof/>
          <w:lang w:val="en-GB" w:eastAsia="en-GB"/>
          <w14:ligatures w14:val="standardContextual"/>
        </w:rPr>
        <w:drawing>
          <wp:anchor distT="0" distB="0" distL="114300" distR="114300" simplePos="0" relativeHeight="251869184" behindDoc="0" locked="0" layoutInCell="1" allowOverlap="1" wp14:anchorId="561A1584" wp14:editId="47A9AD7E">
            <wp:simplePos x="0" y="0"/>
            <wp:positionH relativeFrom="column">
              <wp:posOffset>1695450</wp:posOffset>
            </wp:positionH>
            <wp:positionV relativeFrom="paragraph">
              <wp:posOffset>47625</wp:posOffset>
            </wp:positionV>
            <wp:extent cx="3840480" cy="2257200"/>
            <wp:effectExtent l="0" t="0" r="7620" b="10160"/>
            <wp:wrapSquare wrapText="bothSides"/>
            <wp:docPr id="1081546576" name="Chart 108154657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14:sizeRelV relativeFrom="margin">
              <wp14:pctHeight>0</wp14:pctHeight>
            </wp14:sizeRelV>
          </wp:anchor>
        </w:drawing>
      </w:r>
      <w:r w:rsidR="00B10745" w:rsidRPr="00764FC3">
        <w:rPr>
          <w:rFonts w:cstheme="majorHAnsi"/>
        </w:rPr>
        <w:t xml:space="preserve">Opština Ranilug se nije kvalifikovala </w:t>
      </w:r>
      <w:r w:rsidR="00820673" w:rsidRPr="00764FC3">
        <w:rPr>
          <w:rFonts w:cstheme="majorHAnsi"/>
        </w:rPr>
        <w:t>za grant za opštinski učinak za 202</w:t>
      </w:r>
      <w:r>
        <w:rPr>
          <w:rFonts w:cstheme="majorHAnsi"/>
        </w:rPr>
        <w:t>6</w:t>
      </w:r>
      <w:r w:rsidR="00820673" w:rsidRPr="00764FC3">
        <w:rPr>
          <w:rFonts w:cstheme="majorHAnsi"/>
        </w:rPr>
        <w:t xml:space="preserve">. godinu, na osnovu učinka za </w:t>
      </w:r>
      <w:r w:rsidR="00F41E1B">
        <w:rPr>
          <w:rFonts w:cstheme="majorHAnsi"/>
        </w:rPr>
        <w:t>2024</w:t>
      </w:r>
      <w:r w:rsidR="00820673" w:rsidRPr="00764FC3">
        <w:rPr>
          <w:rFonts w:cstheme="majorHAnsi"/>
        </w:rPr>
        <w:t>. godinu.</w:t>
      </w:r>
    </w:p>
    <w:p w14:paraId="299BD97F" w14:textId="6A5D94D5" w:rsidR="00B10745" w:rsidRPr="00764FC3" w:rsidRDefault="00B10745" w:rsidP="00B10745">
      <w:pPr>
        <w:tabs>
          <w:tab w:val="left" w:pos="1190"/>
        </w:tabs>
        <w:jc w:val="both"/>
        <w:rPr>
          <w:rFonts w:cstheme="majorHAnsi"/>
        </w:rPr>
      </w:pPr>
      <w:r w:rsidRPr="00764FC3">
        <w:rPr>
          <w:rFonts w:cstheme="majorHAnsi"/>
        </w:rPr>
        <w:t>Minimalni uslov broj 3 (Mišljenje revizije mora biti najmanje nemodifikovano sa isticanjem pitanja) i broj 4 (</w:t>
      </w:r>
      <w:r w:rsidR="004D656E" w:rsidRPr="004D656E">
        <w:rPr>
          <w:rFonts w:cstheme="majorHAnsi"/>
        </w:rPr>
        <w:t>Opštine moraju potrošiti 75% ili više završnog budžeta na kapitalne investicije</w:t>
      </w:r>
      <w:r w:rsidRPr="00764FC3">
        <w:rPr>
          <w:rFonts w:cstheme="majorHAnsi"/>
        </w:rPr>
        <w:t>) nisu ispunjeni.</w:t>
      </w:r>
    </w:p>
    <w:p w14:paraId="4A9B1256" w14:textId="77777777" w:rsidR="00B10745" w:rsidRPr="00764FC3" w:rsidRDefault="00B10745" w:rsidP="00B10745">
      <w:pPr>
        <w:tabs>
          <w:tab w:val="left" w:pos="1190"/>
        </w:tabs>
        <w:jc w:val="both"/>
        <w:rPr>
          <w:rFonts w:eastAsiaTheme="majorEastAsia" w:cstheme="majorHAnsi"/>
        </w:rPr>
      </w:pPr>
    </w:p>
    <w:p w14:paraId="3A1B42D0" w14:textId="4A00FE32"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42DEE9AC" w14:textId="70E06F5F" w:rsidR="00B10745" w:rsidRPr="00764FC3" w:rsidRDefault="00B10745" w:rsidP="00B10745">
      <w:pPr>
        <w:jc w:val="both"/>
        <w:rPr>
          <w:rFonts w:cstheme="majorHAnsi"/>
        </w:rPr>
      </w:pPr>
      <w:r w:rsidRPr="00764FC3">
        <w:rPr>
          <w:rFonts w:cstheme="majorHAnsi"/>
        </w:rPr>
        <w:t>Prosečni učinak opštine Ranilug u 2</w:t>
      </w:r>
      <w:r w:rsidR="004D656E">
        <w:rPr>
          <w:rFonts w:cstheme="majorHAnsi"/>
        </w:rPr>
        <w:t>9</w:t>
      </w:r>
      <w:r w:rsidRPr="00764FC3">
        <w:rPr>
          <w:rFonts w:cstheme="majorHAnsi"/>
        </w:rPr>
        <w:t xml:space="preserve"> procenjenih pokazatelja je 1</w:t>
      </w:r>
      <w:r w:rsidR="004D656E">
        <w:rPr>
          <w:rFonts w:cstheme="majorHAnsi"/>
        </w:rPr>
        <w:t>6</w:t>
      </w:r>
      <w:r w:rsidRPr="00764FC3">
        <w:rPr>
          <w:rFonts w:cstheme="majorHAnsi"/>
        </w:rPr>
        <w:t xml:space="preserve"> bodova od ukupno 9</w:t>
      </w:r>
      <w:r w:rsidR="004D656E">
        <w:rPr>
          <w:rFonts w:cstheme="majorHAnsi"/>
        </w:rPr>
        <w:t>8</w:t>
      </w:r>
      <w:r w:rsidRPr="00764FC3">
        <w:rPr>
          <w:rFonts w:cstheme="majorHAnsi"/>
        </w:rPr>
        <w:t xml:space="preserve"> mogućih bodova (1</w:t>
      </w:r>
      <w:r w:rsidR="004D656E">
        <w:rPr>
          <w:rFonts w:cstheme="majorHAnsi"/>
        </w:rPr>
        <w:t>6.33</w:t>
      </w:r>
      <w:r w:rsidRPr="00764FC3">
        <w:rPr>
          <w:rFonts w:cstheme="majorHAnsi"/>
        </w:rPr>
        <w:t>%).</w:t>
      </w:r>
      <w:r w:rsidRPr="00764FC3">
        <w:t xml:space="preserve"> </w:t>
      </w:r>
    </w:p>
    <w:p w14:paraId="7CB74997" w14:textId="0CBE455A" w:rsidR="00B10745" w:rsidRPr="00764FC3" w:rsidRDefault="004D656E" w:rsidP="00B10745">
      <w:pPr>
        <w:jc w:val="both"/>
        <w:rPr>
          <w:rFonts w:cstheme="majorHAnsi"/>
        </w:rPr>
      </w:pPr>
      <w:r>
        <w:rPr>
          <w:noProof/>
          <w:lang w:val="en-GB" w:eastAsia="en-GB"/>
          <w14:ligatures w14:val="standardContextual"/>
        </w:rPr>
        <w:drawing>
          <wp:anchor distT="0" distB="0" distL="114300" distR="114300" simplePos="0" relativeHeight="251870208" behindDoc="0" locked="0" layoutInCell="1" allowOverlap="1" wp14:anchorId="69CBA397" wp14:editId="63D639DB">
            <wp:simplePos x="0" y="0"/>
            <wp:positionH relativeFrom="column">
              <wp:posOffset>1771650</wp:posOffset>
            </wp:positionH>
            <wp:positionV relativeFrom="paragraph">
              <wp:posOffset>2540</wp:posOffset>
            </wp:positionV>
            <wp:extent cx="3840480" cy="2743200"/>
            <wp:effectExtent l="0" t="0" r="7620" b="0"/>
            <wp:wrapSquare wrapText="bothSides"/>
            <wp:docPr id="1081546577" name="Chart 108154657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anchor>
        </w:drawing>
      </w:r>
      <w:r w:rsidR="00B10745" w:rsidRPr="00764FC3">
        <w:rPr>
          <w:rFonts w:cstheme="majorHAnsi"/>
        </w:rPr>
        <w:t>Prosečni učinak u 1</w:t>
      </w:r>
      <w:r>
        <w:rPr>
          <w:rFonts w:cstheme="majorHAnsi"/>
        </w:rPr>
        <w:t>3</w:t>
      </w:r>
      <w:r w:rsidR="00B10745" w:rsidRPr="00764FC3">
        <w:rPr>
          <w:rFonts w:cstheme="majorHAnsi"/>
        </w:rPr>
        <w:t xml:space="preserve"> pokazatelja procenjenih u okviru oblasti ‘Demokratsko upravljanje’ iznosi 9 bodova od ukupno </w:t>
      </w:r>
      <w:r>
        <w:rPr>
          <w:rFonts w:cstheme="majorHAnsi"/>
        </w:rPr>
        <w:t>40</w:t>
      </w:r>
      <w:r w:rsidR="00B10745" w:rsidRPr="00764FC3">
        <w:rPr>
          <w:rFonts w:cstheme="majorHAnsi"/>
        </w:rPr>
        <w:t xml:space="preserve"> mogućih bodova (</w:t>
      </w:r>
      <w:r>
        <w:rPr>
          <w:rFonts w:cstheme="majorHAnsi"/>
        </w:rPr>
        <w:t>22.50</w:t>
      </w:r>
      <w:r w:rsidR="00B10745" w:rsidRPr="00764FC3">
        <w:rPr>
          <w:rFonts w:cstheme="majorHAnsi"/>
        </w:rPr>
        <w:t>%).</w:t>
      </w:r>
    </w:p>
    <w:p w14:paraId="1E8F2B74" w14:textId="717367C7"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4D656E">
        <w:rPr>
          <w:rFonts w:cstheme="majorHAnsi"/>
        </w:rPr>
        <w:t>5</w:t>
      </w:r>
      <w:r w:rsidRPr="00764FC3">
        <w:rPr>
          <w:rFonts w:cstheme="majorHAnsi"/>
        </w:rPr>
        <w:t xml:space="preserve"> bodova od ukupno 2</w:t>
      </w:r>
      <w:r w:rsidR="004D656E">
        <w:rPr>
          <w:rFonts w:cstheme="majorHAnsi"/>
        </w:rPr>
        <w:t>8</w:t>
      </w:r>
      <w:r w:rsidRPr="00764FC3">
        <w:rPr>
          <w:rFonts w:cstheme="majorHAnsi"/>
        </w:rPr>
        <w:t xml:space="preserve"> mogućih bodova (</w:t>
      </w:r>
      <w:r w:rsidR="004D656E">
        <w:rPr>
          <w:rFonts w:cstheme="majorHAnsi"/>
        </w:rPr>
        <w:t>17.86</w:t>
      </w:r>
      <w:r w:rsidRPr="00764FC3">
        <w:rPr>
          <w:rFonts w:cstheme="majorHAnsi"/>
        </w:rPr>
        <w:t>%).</w:t>
      </w:r>
    </w:p>
    <w:p w14:paraId="7582D5E2" w14:textId="371F98A1" w:rsidR="00B10745" w:rsidRPr="00764FC3" w:rsidRDefault="00B10745" w:rsidP="00B10745">
      <w:pPr>
        <w:jc w:val="both"/>
        <w:rPr>
          <w:rFonts w:cstheme="majorHAnsi"/>
        </w:rPr>
      </w:pPr>
      <w:r w:rsidRPr="00764FC3">
        <w:rPr>
          <w:rFonts w:cstheme="majorHAnsi"/>
        </w:rPr>
        <w:t xml:space="preserve">Prosečni učinak u </w:t>
      </w:r>
      <w:r w:rsidR="004D656E">
        <w:rPr>
          <w:rFonts w:cstheme="majorHAnsi"/>
        </w:rPr>
        <w:t>9</w:t>
      </w:r>
      <w:r w:rsidRPr="00764FC3">
        <w:rPr>
          <w:rFonts w:cstheme="majorHAnsi"/>
        </w:rPr>
        <w:t xml:space="preserve"> pokazatelja procenjenih u okviru oblasti ‘Pružanje usluga’ je 2 bodova od ukupno </w:t>
      </w:r>
      <w:r w:rsidR="004D656E">
        <w:rPr>
          <w:rFonts w:cstheme="majorHAnsi"/>
        </w:rPr>
        <w:t>30</w:t>
      </w:r>
      <w:r w:rsidRPr="00764FC3">
        <w:rPr>
          <w:rFonts w:cstheme="majorHAnsi"/>
        </w:rPr>
        <w:t xml:space="preserve"> mogućih bodova (</w:t>
      </w:r>
      <w:r w:rsidR="004D656E">
        <w:rPr>
          <w:rFonts w:cstheme="majorHAnsi"/>
        </w:rPr>
        <w:t>6.67</w:t>
      </w:r>
      <w:r w:rsidRPr="00764FC3">
        <w:rPr>
          <w:rFonts w:cstheme="majorHAnsi"/>
        </w:rPr>
        <w:t>%).</w:t>
      </w:r>
    </w:p>
    <w:p w14:paraId="375429A7" w14:textId="77777777" w:rsidR="00B10745" w:rsidRPr="00764FC3" w:rsidRDefault="00B10745" w:rsidP="00B10745"/>
    <w:p w14:paraId="3D710C75"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34F7B14E" w14:textId="4E3BC4A1"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Štrpce</w:t>
      </w:r>
    </w:p>
    <w:p w14:paraId="1D59DE25" w14:textId="25F25CE8"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52B5BD56" w14:textId="5DE2FEE1" w:rsidR="002B04A5" w:rsidRPr="00764FC3" w:rsidRDefault="004D656E" w:rsidP="002B04A5">
      <w:pPr>
        <w:jc w:val="both"/>
        <w:rPr>
          <w:rFonts w:cstheme="majorHAnsi"/>
          <w:lang w:val="sr-Latn-RS"/>
        </w:rPr>
      </w:pPr>
      <w:r>
        <w:rPr>
          <w:noProof/>
          <w:lang w:val="en-GB" w:eastAsia="en-GB"/>
          <w14:ligatures w14:val="standardContextual"/>
        </w:rPr>
        <w:drawing>
          <wp:anchor distT="0" distB="0" distL="114300" distR="114300" simplePos="0" relativeHeight="251871232" behindDoc="0" locked="0" layoutInCell="1" allowOverlap="1" wp14:anchorId="2B3F29C7" wp14:editId="53718F37">
            <wp:simplePos x="0" y="0"/>
            <wp:positionH relativeFrom="column">
              <wp:posOffset>1950720</wp:posOffset>
            </wp:positionH>
            <wp:positionV relativeFrom="paragraph">
              <wp:posOffset>66675</wp:posOffset>
            </wp:positionV>
            <wp:extent cx="3840480" cy="2257200"/>
            <wp:effectExtent l="0" t="0" r="7620" b="10160"/>
            <wp:wrapSquare wrapText="bothSides"/>
            <wp:docPr id="1081546578" name="Chart 108154657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14:sizeRelV relativeFrom="margin">
              <wp14:pctHeight>0</wp14:pctHeight>
            </wp14:sizeRelV>
          </wp:anchor>
        </w:drawing>
      </w:r>
      <w:r w:rsidR="00B10745" w:rsidRPr="00764FC3">
        <w:rPr>
          <w:rFonts w:cstheme="majorHAnsi"/>
        </w:rPr>
        <w:t xml:space="preserve">Opština Štrpce se nije kvalifikovala </w:t>
      </w:r>
      <w:r w:rsidR="002B04A5" w:rsidRPr="00764FC3">
        <w:rPr>
          <w:rFonts w:cstheme="majorHAnsi"/>
          <w:lang w:val="sr-Latn-RS"/>
        </w:rPr>
        <w:t>za grant za opštinski učinak za 202</w:t>
      </w:r>
      <w:r>
        <w:rPr>
          <w:rFonts w:cstheme="majorHAnsi"/>
          <w:lang w:val="sr-Latn-RS"/>
        </w:rPr>
        <w:t>6</w:t>
      </w:r>
      <w:r w:rsidR="002B04A5" w:rsidRPr="00764FC3">
        <w:rPr>
          <w:rFonts w:cstheme="majorHAnsi"/>
          <w:lang w:val="sr-Latn-RS"/>
        </w:rPr>
        <w:t xml:space="preserve">. godinu, na osnovu učinka za </w:t>
      </w:r>
      <w:r w:rsidR="00F41E1B">
        <w:rPr>
          <w:rFonts w:cstheme="majorHAnsi"/>
          <w:lang w:val="sr-Latn-RS"/>
        </w:rPr>
        <w:t>2024</w:t>
      </w:r>
      <w:r w:rsidR="002B04A5" w:rsidRPr="00764FC3">
        <w:rPr>
          <w:rFonts w:cstheme="majorHAnsi"/>
          <w:lang w:val="sr-Latn-RS"/>
        </w:rPr>
        <w:t>. godinu.</w:t>
      </w:r>
      <w:r w:rsidR="00494FCC" w:rsidRPr="00764FC3">
        <w:rPr>
          <w:rFonts w:cstheme="majorHAnsi"/>
        </w:rPr>
        <w:t xml:space="preserve"> </w:t>
      </w:r>
    </w:p>
    <w:p w14:paraId="65586A01" w14:textId="53C47D30" w:rsidR="00B10745" w:rsidRPr="004D656E" w:rsidRDefault="004D656E" w:rsidP="004D656E">
      <w:pPr>
        <w:jc w:val="both"/>
        <w:rPr>
          <w:rFonts w:cstheme="majorHAnsi"/>
        </w:rPr>
      </w:pPr>
      <w:r w:rsidRPr="00764FC3">
        <w:rPr>
          <w:rFonts w:cstheme="majorHAnsi"/>
        </w:rPr>
        <w:t>Minimalni uslovi:</w:t>
      </w:r>
      <w:r>
        <w:rPr>
          <w:rFonts w:cstheme="majorHAnsi"/>
        </w:rPr>
        <w:t xml:space="preserve">Broj 1 ( </w:t>
      </w:r>
      <w:r w:rsidRPr="004D656E">
        <w:rPr>
          <w:rFonts w:cstheme="majorHAnsi"/>
        </w:rPr>
        <w:t>Opštine su morale prijaviti podatke SUOU u roku definisanim u članu 19.2 Zakona o SUOU/GOU</w:t>
      </w:r>
      <w:r>
        <w:rPr>
          <w:rFonts w:cstheme="majorHAnsi"/>
        </w:rPr>
        <w:t xml:space="preserve"> ), </w:t>
      </w:r>
      <w:r w:rsidRPr="00764FC3">
        <w:rPr>
          <w:rFonts w:cstheme="majorHAnsi"/>
        </w:rPr>
        <w:t xml:space="preserve"> broj 2 (opštine moraju preispitati sve opštinske akte koje su nadzorni organi ocenili kao nezakonite u skladu sa zakonskim zahtevima)</w:t>
      </w:r>
      <w:r>
        <w:rPr>
          <w:rFonts w:cstheme="majorHAnsi"/>
        </w:rPr>
        <w:t xml:space="preserve">, </w:t>
      </w:r>
      <w:r w:rsidRPr="00764FC3">
        <w:rPr>
          <w:rFonts w:cstheme="majorHAnsi"/>
        </w:rPr>
        <w:t>broj 3 (revizorsko mišljenje mora biti najmanje nemodifikovano sa akcentom na to pitanje)</w:t>
      </w:r>
      <w:r>
        <w:rPr>
          <w:rFonts w:cstheme="majorHAnsi"/>
        </w:rPr>
        <w:t xml:space="preserve"> i </w:t>
      </w:r>
      <w:r w:rsidRPr="00764FC3">
        <w:rPr>
          <w:rFonts w:cstheme="majorHAnsi"/>
        </w:rPr>
        <w:t>broj 4 (Opštine moraju potrošiti 75% ili više završnog budžeta na kapitalne investicije) nisu ispunjeni.</w:t>
      </w:r>
    </w:p>
    <w:p w14:paraId="0BE78919" w14:textId="73D156EA"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4C834AAA" w14:textId="631524FA" w:rsidR="00B10745" w:rsidRPr="00764FC3" w:rsidRDefault="00B10745" w:rsidP="00B10745">
      <w:pPr>
        <w:jc w:val="both"/>
        <w:rPr>
          <w:rFonts w:cstheme="majorHAnsi"/>
        </w:rPr>
      </w:pPr>
      <w:r w:rsidRPr="00764FC3">
        <w:rPr>
          <w:rFonts w:cstheme="majorHAnsi"/>
        </w:rPr>
        <w:t>Prosečni učinak opštine Štrepce u 2</w:t>
      </w:r>
      <w:r w:rsidR="004D656E">
        <w:rPr>
          <w:rFonts w:cstheme="majorHAnsi"/>
        </w:rPr>
        <w:t>9</w:t>
      </w:r>
      <w:r w:rsidRPr="00764FC3">
        <w:rPr>
          <w:rFonts w:cstheme="majorHAnsi"/>
        </w:rPr>
        <w:t xml:space="preserve"> procenjenih pokazatelja je </w:t>
      </w:r>
      <w:r w:rsidR="004D656E">
        <w:rPr>
          <w:rFonts w:cstheme="majorHAnsi"/>
        </w:rPr>
        <w:t>0</w:t>
      </w:r>
      <w:r w:rsidRPr="00764FC3">
        <w:rPr>
          <w:rFonts w:cstheme="majorHAnsi"/>
        </w:rPr>
        <w:t xml:space="preserve"> bodova od ukupno 9</w:t>
      </w:r>
      <w:r w:rsidR="004D656E">
        <w:rPr>
          <w:rFonts w:cstheme="majorHAnsi"/>
        </w:rPr>
        <w:t>8</w:t>
      </w:r>
      <w:r w:rsidRPr="00764FC3">
        <w:rPr>
          <w:rFonts w:cstheme="majorHAnsi"/>
        </w:rPr>
        <w:t xml:space="preserve"> mogućih bodova (</w:t>
      </w:r>
      <w:r w:rsidR="004D656E">
        <w:rPr>
          <w:rFonts w:cstheme="majorHAnsi"/>
        </w:rPr>
        <w:t>0.00</w:t>
      </w:r>
      <w:r w:rsidRPr="00764FC3">
        <w:rPr>
          <w:rFonts w:cstheme="majorHAnsi"/>
        </w:rPr>
        <w:t>%).</w:t>
      </w:r>
      <w:r w:rsidRPr="00764FC3">
        <w:t xml:space="preserve">  </w:t>
      </w:r>
    </w:p>
    <w:p w14:paraId="63D439A4" w14:textId="02857647" w:rsidR="00B10745" w:rsidRPr="00764FC3" w:rsidRDefault="00B10745" w:rsidP="00B10745">
      <w:pPr>
        <w:jc w:val="both"/>
        <w:rPr>
          <w:rFonts w:cstheme="majorHAnsi"/>
        </w:rPr>
      </w:pPr>
      <w:r w:rsidRPr="00764FC3">
        <w:rPr>
          <w:rFonts w:cstheme="majorHAnsi"/>
        </w:rPr>
        <w:t xml:space="preserve">Prosečni učinak u </w:t>
      </w:r>
      <w:r w:rsidR="00C90E5F">
        <w:rPr>
          <w:rFonts w:cstheme="majorHAnsi"/>
        </w:rPr>
        <w:t>13</w:t>
      </w:r>
      <w:r w:rsidRPr="00764FC3">
        <w:rPr>
          <w:rFonts w:cstheme="majorHAnsi"/>
        </w:rPr>
        <w:t xml:space="preserve"> pokazatelja procenjenih u okviru oblasti ‘Demokratsko upravljanje’ je </w:t>
      </w:r>
      <w:r w:rsidR="00C90E5F">
        <w:rPr>
          <w:rFonts w:cstheme="majorHAnsi"/>
        </w:rPr>
        <w:t>0</w:t>
      </w:r>
      <w:r w:rsidRPr="00764FC3">
        <w:rPr>
          <w:rFonts w:cstheme="majorHAnsi"/>
        </w:rPr>
        <w:t xml:space="preserve"> bodova od ukupno </w:t>
      </w:r>
      <w:r w:rsidR="00C90E5F">
        <w:rPr>
          <w:rFonts w:cstheme="majorHAnsi"/>
        </w:rPr>
        <w:t>40</w:t>
      </w:r>
      <w:r w:rsidRPr="00764FC3">
        <w:rPr>
          <w:rFonts w:cstheme="majorHAnsi"/>
        </w:rPr>
        <w:t xml:space="preserve"> mogućih bodova (</w:t>
      </w:r>
      <w:r w:rsidR="00C90E5F">
        <w:rPr>
          <w:rFonts w:cstheme="majorHAnsi"/>
        </w:rPr>
        <w:t>0.00</w:t>
      </w:r>
      <w:r w:rsidRPr="00764FC3">
        <w:rPr>
          <w:rFonts w:cstheme="majorHAnsi"/>
        </w:rPr>
        <w:t>%).</w:t>
      </w:r>
    </w:p>
    <w:p w14:paraId="5FB43945" w14:textId="068F2A79"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C90E5F">
        <w:rPr>
          <w:rFonts w:cstheme="majorHAnsi"/>
        </w:rPr>
        <w:t>0</w:t>
      </w:r>
      <w:r w:rsidRPr="00764FC3">
        <w:rPr>
          <w:rFonts w:cstheme="majorHAnsi"/>
        </w:rPr>
        <w:t xml:space="preserve"> poen od ukupno 2</w:t>
      </w:r>
      <w:r w:rsidR="00C90E5F">
        <w:rPr>
          <w:rFonts w:cstheme="majorHAnsi"/>
        </w:rPr>
        <w:t>8</w:t>
      </w:r>
      <w:r w:rsidRPr="00764FC3">
        <w:rPr>
          <w:rFonts w:cstheme="majorHAnsi"/>
        </w:rPr>
        <w:t xml:space="preserve"> mogućih bodova </w:t>
      </w:r>
      <w:r w:rsidR="00C90E5F">
        <w:rPr>
          <w:rFonts w:cstheme="majorHAnsi"/>
        </w:rPr>
        <w:t>(0.00</w:t>
      </w:r>
      <w:r w:rsidRPr="00764FC3">
        <w:rPr>
          <w:rFonts w:cstheme="majorHAnsi"/>
        </w:rPr>
        <w:t>%).</w:t>
      </w:r>
    </w:p>
    <w:p w14:paraId="2005ED1A" w14:textId="1121692B" w:rsidR="00B10745" w:rsidRPr="00764FC3" w:rsidRDefault="00B10745" w:rsidP="00B10745">
      <w:pPr>
        <w:jc w:val="both"/>
        <w:rPr>
          <w:rFonts w:cstheme="majorHAnsi"/>
        </w:rPr>
      </w:pPr>
      <w:r w:rsidRPr="00764FC3">
        <w:rPr>
          <w:rFonts w:cstheme="majorHAnsi"/>
        </w:rPr>
        <w:t xml:space="preserve">Prosečni učinak u </w:t>
      </w:r>
      <w:r w:rsidR="00C90E5F">
        <w:rPr>
          <w:rFonts w:cstheme="majorHAnsi"/>
        </w:rPr>
        <w:t>9</w:t>
      </w:r>
      <w:r w:rsidRPr="00764FC3">
        <w:rPr>
          <w:rFonts w:cstheme="majorHAnsi"/>
        </w:rPr>
        <w:t xml:space="preserve"> pokazatelja procenjenih u okviru oblasti ‘Pružanje usluga’ je </w:t>
      </w:r>
      <w:r w:rsidR="00C90E5F">
        <w:rPr>
          <w:rFonts w:cstheme="majorHAnsi"/>
        </w:rPr>
        <w:t>0</w:t>
      </w:r>
      <w:r w:rsidRPr="00764FC3">
        <w:rPr>
          <w:rFonts w:cstheme="majorHAnsi"/>
        </w:rPr>
        <w:t xml:space="preserve"> bodova od ukupno </w:t>
      </w:r>
      <w:r w:rsidR="00C90E5F">
        <w:rPr>
          <w:rFonts w:cstheme="majorHAnsi"/>
        </w:rPr>
        <w:t>30</w:t>
      </w:r>
      <w:r w:rsidRPr="00764FC3">
        <w:rPr>
          <w:rFonts w:cstheme="majorHAnsi"/>
        </w:rPr>
        <w:t xml:space="preserve"> mogućih bodova (</w:t>
      </w:r>
      <w:r w:rsidR="00C90E5F">
        <w:rPr>
          <w:rFonts w:cstheme="majorHAnsi"/>
        </w:rPr>
        <w:t>0.00</w:t>
      </w:r>
      <w:r w:rsidRPr="00764FC3">
        <w:rPr>
          <w:rFonts w:cstheme="majorHAnsi"/>
        </w:rPr>
        <w:t>%).</w:t>
      </w:r>
    </w:p>
    <w:p w14:paraId="1E65BA8A" w14:textId="77777777" w:rsidR="00B10745" w:rsidRPr="00764FC3" w:rsidRDefault="00B10745" w:rsidP="00B10745"/>
    <w:p w14:paraId="3FB20D89" w14:textId="77777777" w:rsidR="00B10745" w:rsidRPr="00764FC3" w:rsidRDefault="00B10745" w:rsidP="00B10745">
      <w:pPr>
        <w:tabs>
          <w:tab w:val="left" w:pos="1190"/>
        </w:tabs>
        <w:jc w:val="both"/>
      </w:pPr>
    </w:p>
    <w:p w14:paraId="2CBE0C99" w14:textId="77777777" w:rsidR="00B10745" w:rsidRPr="00764FC3" w:rsidRDefault="00B10745" w:rsidP="00B10745">
      <w:pPr>
        <w:tabs>
          <w:tab w:val="left" w:pos="1190"/>
        </w:tabs>
        <w:jc w:val="both"/>
      </w:pPr>
    </w:p>
    <w:p w14:paraId="29B143CE"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10830ABC" w14:textId="442DB977"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Štimlje</w:t>
      </w:r>
    </w:p>
    <w:p w14:paraId="0E3F7A0F" w14:textId="1917FD64"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343A47EC" w14:textId="07F68EFD" w:rsidR="00B10745" w:rsidRPr="00764FC3" w:rsidRDefault="00C90E5F" w:rsidP="00B10745">
      <w:pPr>
        <w:jc w:val="both"/>
        <w:rPr>
          <w:rFonts w:cstheme="majorHAnsi"/>
        </w:rPr>
      </w:pPr>
      <w:r>
        <w:rPr>
          <w:noProof/>
          <w:lang w:val="en-GB" w:eastAsia="en-GB"/>
          <w14:ligatures w14:val="standardContextual"/>
        </w:rPr>
        <w:drawing>
          <wp:anchor distT="0" distB="0" distL="114300" distR="114300" simplePos="0" relativeHeight="251872256" behindDoc="0" locked="0" layoutInCell="1" allowOverlap="1" wp14:anchorId="1E9AA943" wp14:editId="46902605">
            <wp:simplePos x="0" y="0"/>
            <wp:positionH relativeFrom="column">
              <wp:posOffset>2085975</wp:posOffset>
            </wp:positionH>
            <wp:positionV relativeFrom="paragraph">
              <wp:posOffset>66675</wp:posOffset>
            </wp:positionV>
            <wp:extent cx="3840480" cy="2257200"/>
            <wp:effectExtent l="0" t="0" r="7620" b="10160"/>
            <wp:wrapSquare wrapText="bothSides"/>
            <wp:docPr id="1081546579" name="Chart 108154657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14:sizeRelV relativeFrom="margin">
              <wp14:pctHeight>0</wp14:pctHeight>
            </wp14:sizeRelV>
          </wp:anchor>
        </w:drawing>
      </w:r>
      <w:r w:rsidR="00B10745" w:rsidRPr="00764FC3">
        <w:rPr>
          <w:rFonts w:cstheme="majorHAnsi"/>
        </w:rPr>
        <w:t xml:space="preserve">Opština Štimlje se nije kvalifikovala </w:t>
      </w:r>
      <w:r w:rsidR="002B04A5" w:rsidRPr="00764FC3">
        <w:rPr>
          <w:rFonts w:cstheme="majorHAnsi"/>
        </w:rPr>
        <w:t>za grant za opštinski učinak za 202</w:t>
      </w:r>
      <w:r>
        <w:rPr>
          <w:rFonts w:cstheme="majorHAnsi"/>
        </w:rPr>
        <w:t>6</w:t>
      </w:r>
      <w:r w:rsidR="002B04A5" w:rsidRPr="00764FC3">
        <w:rPr>
          <w:rFonts w:cstheme="majorHAnsi"/>
        </w:rPr>
        <w:t xml:space="preserve">. godinu, na osnovu učinka za </w:t>
      </w:r>
      <w:r w:rsidR="00F41E1B">
        <w:rPr>
          <w:rFonts w:cstheme="majorHAnsi"/>
        </w:rPr>
        <w:t>2024</w:t>
      </w:r>
      <w:r w:rsidR="002B04A5" w:rsidRPr="00764FC3">
        <w:rPr>
          <w:rFonts w:cstheme="majorHAnsi"/>
        </w:rPr>
        <w:t>. godinu.</w:t>
      </w:r>
    </w:p>
    <w:p w14:paraId="3AE60499" w14:textId="7260D5CA" w:rsidR="00B10745" w:rsidRPr="00764FC3" w:rsidRDefault="00B10745" w:rsidP="00B10745">
      <w:pPr>
        <w:jc w:val="both"/>
        <w:rPr>
          <w:rFonts w:cstheme="majorHAnsi"/>
        </w:rPr>
      </w:pPr>
      <w:r w:rsidRPr="00764FC3">
        <w:rPr>
          <w:rFonts w:cstheme="majorHAnsi"/>
        </w:rPr>
        <w:t xml:space="preserve">Minimalni uslovi </w:t>
      </w:r>
      <w:r w:rsidR="00C90E5F" w:rsidRPr="00764FC3">
        <w:rPr>
          <w:rFonts w:cstheme="majorHAnsi"/>
        </w:rPr>
        <w:t>broj 3 (revizorsko mišljenje mora biti najmanje nemodifikovano sa akcentom na to pitanje)</w:t>
      </w:r>
      <w:r w:rsidR="00C90E5F">
        <w:rPr>
          <w:rFonts w:cstheme="majorHAnsi"/>
        </w:rPr>
        <w:t xml:space="preserve"> nije ispunjen.</w:t>
      </w:r>
    </w:p>
    <w:p w14:paraId="254B2F96" w14:textId="77777777" w:rsidR="00B10745" w:rsidRPr="00764FC3" w:rsidRDefault="00B10745" w:rsidP="00B10745">
      <w:pPr>
        <w:tabs>
          <w:tab w:val="left" w:pos="1190"/>
        </w:tabs>
        <w:jc w:val="both"/>
        <w:rPr>
          <w:rFonts w:cstheme="majorHAnsi"/>
        </w:rPr>
      </w:pPr>
      <w:r w:rsidRPr="00764FC3">
        <w:rPr>
          <w:rFonts w:cstheme="majorHAnsi"/>
        </w:rPr>
        <w:tab/>
      </w:r>
    </w:p>
    <w:p w14:paraId="506D4457" w14:textId="77777777" w:rsidR="00B10745" w:rsidRPr="00764FC3" w:rsidRDefault="00B10745" w:rsidP="00B10745">
      <w:pPr>
        <w:rPr>
          <w:rFonts w:cstheme="majorHAnsi"/>
        </w:rPr>
      </w:pPr>
    </w:p>
    <w:p w14:paraId="36BFCB17" w14:textId="77777777" w:rsidR="00C90E5F" w:rsidRDefault="00C90E5F" w:rsidP="00B10745">
      <w:pPr>
        <w:rPr>
          <w:rFonts w:cstheme="majorHAnsi"/>
          <w:b/>
          <w:bCs/>
        </w:rPr>
      </w:pPr>
    </w:p>
    <w:p w14:paraId="0AE395F3" w14:textId="614F4C20" w:rsidR="00B10745" w:rsidRPr="00764FC3" w:rsidRDefault="00B10745" w:rsidP="00B10745">
      <w:pPr>
        <w:rPr>
          <w:rFonts w:cstheme="majorHAnsi"/>
          <w:b/>
          <w:bCs/>
        </w:rPr>
      </w:pPr>
      <w:r w:rsidRPr="00764FC3">
        <w:rPr>
          <w:rFonts w:cstheme="majorHAnsi"/>
          <w:b/>
          <w:bCs/>
        </w:rPr>
        <w:t xml:space="preserve">Procena pokazatelja učinka za </w:t>
      </w:r>
      <w:r w:rsidR="00F41E1B">
        <w:rPr>
          <w:rFonts w:cstheme="majorHAnsi"/>
          <w:b/>
          <w:bCs/>
        </w:rPr>
        <w:t>2024</w:t>
      </w:r>
      <w:r w:rsidRPr="00764FC3">
        <w:rPr>
          <w:rFonts w:cstheme="majorHAnsi"/>
          <w:b/>
          <w:bCs/>
        </w:rPr>
        <w:t>. godinu</w:t>
      </w:r>
    </w:p>
    <w:p w14:paraId="57FC44AC" w14:textId="0422D4DA" w:rsidR="00B10745" w:rsidRPr="00764FC3" w:rsidRDefault="00C90E5F" w:rsidP="00B10745">
      <w:pPr>
        <w:jc w:val="both"/>
        <w:rPr>
          <w:rFonts w:cstheme="majorHAnsi"/>
        </w:rPr>
      </w:pPr>
      <w:r>
        <w:rPr>
          <w:noProof/>
          <w:lang w:val="en-GB" w:eastAsia="en-GB"/>
          <w14:ligatures w14:val="standardContextual"/>
        </w:rPr>
        <w:drawing>
          <wp:anchor distT="0" distB="0" distL="114300" distR="114300" simplePos="0" relativeHeight="251873280" behindDoc="0" locked="0" layoutInCell="1" allowOverlap="1" wp14:anchorId="798A04B2" wp14:editId="366863AF">
            <wp:simplePos x="0" y="0"/>
            <wp:positionH relativeFrom="column">
              <wp:posOffset>2028825</wp:posOffset>
            </wp:positionH>
            <wp:positionV relativeFrom="paragraph">
              <wp:posOffset>373380</wp:posOffset>
            </wp:positionV>
            <wp:extent cx="3840480" cy="2743200"/>
            <wp:effectExtent l="0" t="0" r="7620" b="0"/>
            <wp:wrapSquare wrapText="bothSides"/>
            <wp:docPr id="1081546580" name="Chart 108154658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anchor>
        </w:drawing>
      </w:r>
      <w:r w:rsidR="00B10745" w:rsidRPr="00764FC3">
        <w:rPr>
          <w:rFonts w:cstheme="majorHAnsi"/>
        </w:rPr>
        <w:t>Prosečni učinak opštine Štimlje u 2</w:t>
      </w:r>
      <w:r>
        <w:rPr>
          <w:rFonts w:cstheme="majorHAnsi"/>
        </w:rPr>
        <w:t>9</w:t>
      </w:r>
      <w:r w:rsidR="00B10745" w:rsidRPr="00764FC3">
        <w:rPr>
          <w:rFonts w:cstheme="majorHAnsi"/>
        </w:rPr>
        <w:t xml:space="preserve"> procenjenih pokazatelja je </w:t>
      </w:r>
      <w:r>
        <w:rPr>
          <w:rFonts w:cstheme="majorHAnsi"/>
        </w:rPr>
        <w:t>48</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48.98</w:t>
      </w:r>
      <w:r w:rsidR="00B10745" w:rsidRPr="00764FC3">
        <w:rPr>
          <w:rFonts w:cstheme="majorHAnsi"/>
        </w:rPr>
        <w:t xml:space="preserve">%). </w:t>
      </w:r>
    </w:p>
    <w:p w14:paraId="03E35993" w14:textId="0C301993" w:rsidR="00B10745" w:rsidRPr="00764FC3" w:rsidRDefault="00B10745" w:rsidP="00B10745">
      <w:pPr>
        <w:jc w:val="both"/>
        <w:rPr>
          <w:rFonts w:cstheme="majorHAnsi"/>
        </w:rPr>
      </w:pPr>
      <w:r w:rsidRPr="00764FC3">
        <w:rPr>
          <w:rFonts w:cstheme="majorHAnsi"/>
        </w:rPr>
        <w:t>Prosečni učinak u 1</w:t>
      </w:r>
      <w:r w:rsidR="00C90E5F">
        <w:rPr>
          <w:rFonts w:cstheme="majorHAnsi"/>
        </w:rPr>
        <w:t>3</w:t>
      </w:r>
      <w:r w:rsidRPr="00764FC3">
        <w:rPr>
          <w:rFonts w:cstheme="majorHAnsi"/>
        </w:rPr>
        <w:t xml:space="preserve"> pokazatelja procenjenih u okviru oblasti ‘Demokratsko upravljanje’ iznosi </w:t>
      </w:r>
      <w:r w:rsidR="00C90E5F">
        <w:rPr>
          <w:rFonts w:cstheme="majorHAnsi"/>
        </w:rPr>
        <w:t>25</w:t>
      </w:r>
      <w:r w:rsidRPr="00764FC3">
        <w:rPr>
          <w:rFonts w:cstheme="majorHAnsi"/>
        </w:rPr>
        <w:t xml:space="preserve"> bodova od ukupno </w:t>
      </w:r>
      <w:r w:rsidR="00C90E5F">
        <w:rPr>
          <w:rFonts w:cstheme="majorHAnsi"/>
        </w:rPr>
        <w:t>40</w:t>
      </w:r>
      <w:r w:rsidRPr="00764FC3">
        <w:rPr>
          <w:rFonts w:cstheme="majorHAnsi"/>
        </w:rPr>
        <w:t xml:space="preserve"> mogućih bodova (</w:t>
      </w:r>
      <w:r w:rsidR="00C90E5F">
        <w:rPr>
          <w:rFonts w:cstheme="majorHAnsi"/>
        </w:rPr>
        <w:t>62.50</w:t>
      </w:r>
      <w:r w:rsidRPr="00764FC3">
        <w:rPr>
          <w:rFonts w:cstheme="majorHAnsi"/>
        </w:rPr>
        <w:t>%).</w:t>
      </w:r>
    </w:p>
    <w:p w14:paraId="43EFFCC5" w14:textId="44040974"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C90E5F">
        <w:rPr>
          <w:rFonts w:cstheme="majorHAnsi"/>
        </w:rPr>
        <w:t>14</w:t>
      </w:r>
      <w:r w:rsidRPr="00764FC3">
        <w:rPr>
          <w:rFonts w:cstheme="majorHAnsi"/>
        </w:rPr>
        <w:t xml:space="preserve"> bodova od ukupno </w:t>
      </w:r>
      <w:r w:rsidR="00C90E5F">
        <w:rPr>
          <w:rFonts w:cstheme="majorHAnsi"/>
        </w:rPr>
        <w:t>28</w:t>
      </w:r>
      <w:r w:rsidRPr="00764FC3">
        <w:rPr>
          <w:rFonts w:cstheme="majorHAnsi"/>
        </w:rPr>
        <w:t xml:space="preserve"> mogućih bodova (</w:t>
      </w:r>
      <w:r w:rsidR="00C90E5F">
        <w:rPr>
          <w:rFonts w:cstheme="majorHAnsi"/>
        </w:rPr>
        <w:t>50.00</w:t>
      </w:r>
      <w:r w:rsidRPr="00764FC3">
        <w:rPr>
          <w:rFonts w:cstheme="majorHAnsi"/>
        </w:rPr>
        <w:t>%).</w:t>
      </w:r>
    </w:p>
    <w:p w14:paraId="0FB46F4B" w14:textId="6500605F" w:rsidR="00B10745" w:rsidRPr="00764FC3" w:rsidRDefault="00B10745" w:rsidP="00B10745">
      <w:pPr>
        <w:jc w:val="both"/>
        <w:rPr>
          <w:rFonts w:cstheme="majorHAnsi"/>
        </w:rPr>
      </w:pPr>
      <w:r w:rsidRPr="00764FC3">
        <w:rPr>
          <w:rFonts w:cstheme="majorHAnsi"/>
        </w:rPr>
        <w:t xml:space="preserve">Prosečni učinak u </w:t>
      </w:r>
      <w:r w:rsidR="00C90E5F">
        <w:rPr>
          <w:rFonts w:cstheme="majorHAnsi"/>
        </w:rPr>
        <w:t>9</w:t>
      </w:r>
      <w:r w:rsidRPr="00764FC3">
        <w:rPr>
          <w:rFonts w:cstheme="majorHAnsi"/>
        </w:rPr>
        <w:t xml:space="preserve"> pokazatelja procenjenih u okviru oblasti ‘Pružanje usluga’ je </w:t>
      </w:r>
      <w:r w:rsidR="00C90E5F">
        <w:rPr>
          <w:rFonts w:cstheme="majorHAnsi"/>
        </w:rPr>
        <w:t>9</w:t>
      </w:r>
      <w:r w:rsidRPr="00764FC3">
        <w:rPr>
          <w:rFonts w:cstheme="majorHAnsi"/>
        </w:rPr>
        <w:t xml:space="preserve"> bodova od ukupno </w:t>
      </w:r>
      <w:r w:rsidR="00C90E5F">
        <w:rPr>
          <w:rFonts w:cstheme="majorHAnsi"/>
        </w:rPr>
        <w:t>30</w:t>
      </w:r>
      <w:r w:rsidRPr="00764FC3">
        <w:rPr>
          <w:rFonts w:cstheme="majorHAnsi"/>
        </w:rPr>
        <w:t xml:space="preserve"> mogućih bodova (</w:t>
      </w:r>
      <w:r w:rsidR="00C90E5F">
        <w:rPr>
          <w:rFonts w:cstheme="majorHAnsi"/>
        </w:rPr>
        <w:t>30.00</w:t>
      </w:r>
      <w:r w:rsidRPr="00764FC3">
        <w:rPr>
          <w:rFonts w:cstheme="majorHAnsi"/>
        </w:rPr>
        <w:t>%)</w:t>
      </w:r>
      <w:r w:rsidR="0025359F" w:rsidRPr="00764FC3">
        <w:rPr>
          <w:rFonts w:cstheme="majorHAnsi"/>
        </w:rPr>
        <w:t>.</w:t>
      </w:r>
    </w:p>
    <w:p w14:paraId="5C553F29"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4D64FDD5" w14:textId="18093902"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Srbica</w:t>
      </w:r>
    </w:p>
    <w:p w14:paraId="366AAA79" w14:textId="7480AB13"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5C8466C5" w14:textId="072FE23B" w:rsidR="002B04A5" w:rsidRPr="00764FC3" w:rsidRDefault="00C90E5F" w:rsidP="002B04A5">
      <w:pPr>
        <w:jc w:val="both"/>
        <w:rPr>
          <w:rFonts w:cstheme="majorHAnsi"/>
          <w:lang w:val="sr-Latn-RS"/>
        </w:rPr>
      </w:pPr>
      <w:r>
        <w:rPr>
          <w:noProof/>
          <w:lang w:val="en-GB" w:eastAsia="en-GB"/>
          <w14:ligatures w14:val="standardContextual"/>
        </w:rPr>
        <w:drawing>
          <wp:anchor distT="0" distB="0" distL="114300" distR="114300" simplePos="0" relativeHeight="251874304" behindDoc="0" locked="0" layoutInCell="1" allowOverlap="1" wp14:anchorId="56F8660D" wp14:editId="230F5D05">
            <wp:simplePos x="0" y="0"/>
            <wp:positionH relativeFrom="column">
              <wp:posOffset>1878330</wp:posOffset>
            </wp:positionH>
            <wp:positionV relativeFrom="paragraph">
              <wp:posOffset>28575</wp:posOffset>
            </wp:positionV>
            <wp:extent cx="3840480" cy="2256790"/>
            <wp:effectExtent l="0" t="0" r="7620" b="10160"/>
            <wp:wrapSquare wrapText="bothSides"/>
            <wp:docPr id="1081546581" name="Chart 108154658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14:sizeRelV relativeFrom="margin">
              <wp14:pctHeight>0</wp14:pctHeight>
            </wp14:sizeRelV>
          </wp:anchor>
        </w:drawing>
      </w:r>
      <w:r w:rsidR="00B10745" w:rsidRPr="00764FC3">
        <w:rPr>
          <w:rFonts w:cstheme="majorHAnsi"/>
        </w:rPr>
        <w:t xml:space="preserve">Opština Srbica se nije kvalifikovala </w:t>
      </w:r>
      <w:r w:rsidR="002B04A5" w:rsidRPr="00764FC3">
        <w:rPr>
          <w:rFonts w:cstheme="majorHAnsi"/>
          <w:lang w:val="sr-Latn-RS"/>
        </w:rPr>
        <w:t>za grant za opštinski učinak za 202</w:t>
      </w:r>
      <w:r>
        <w:rPr>
          <w:rFonts w:cstheme="majorHAnsi"/>
          <w:lang w:val="sr-Latn-RS"/>
        </w:rPr>
        <w:t>6</w:t>
      </w:r>
      <w:r w:rsidR="002B04A5" w:rsidRPr="00764FC3">
        <w:rPr>
          <w:rFonts w:cstheme="majorHAnsi"/>
          <w:lang w:val="sr-Latn-RS"/>
        </w:rPr>
        <w:t xml:space="preserve">. godinu, na osnovu učinka za </w:t>
      </w:r>
      <w:r w:rsidR="00F41E1B">
        <w:rPr>
          <w:rFonts w:cstheme="majorHAnsi"/>
          <w:lang w:val="sr-Latn-RS"/>
        </w:rPr>
        <w:t>2024</w:t>
      </w:r>
      <w:r w:rsidR="002B04A5" w:rsidRPr="00764FC3">
        <w:rPr>
          <w:rFonts w:cstheme="majorHAnsi"/>
          <w:lang w:val="sr-Latn-RS"/>
        </w:rPr>
        <w:t>. godinu.</w:t>
      </w:r>
    </w:p>
    <w:p w14:paraId="7C235F3A" w14:textId="77777777" w:rsidR="00C90E5F" w:rsidRPr="00764FC3" w:rsidRDefault="00C90E5F" w:rsidP="00C90E5F">
      <w:pPr>
        <w:jc w:val="both"/>
        <w:rPr>
          <w:rFonts w:cstheme="majorHAnsi"/>
        </w:rPr>
      </w:pPr>
      <w:r w:rsidRPr="00764FC3">
        <w:rPr>
          <w:rFonts w:cstheme="majorHAnsi"/>
        </w:rPr>
        <w:t>Minimalni uslovi broj 3 (revizorsko mišljenje mora biti najmanje nemodifikovano sa akcentom na to pitanje)</w:t>
      </w:r>
      <w:r>
        <w:rPr>
          <w:rFonts w:cstheme="majorHAnsi"/>
        </w:rPr>
        <w:t xml:space="preserve"> nije ispunjen.</w:t>
      </w:r>
    </w:p>
    <w:p w14:paraId="519EB88E" w14:textId="54E42727" w:rsidR="00B10745" w:rsidRPr="00764FC3" w:rsidRDefault="00B10745" w:rsidP="00B10745"/>
    <w:p w14:paraId="14274D88" w14:textId="77777777" w:rsidR="00B10745" w:rsidRPr="00764FC3" w:rsidRDefault="00B10745" w:rsidP="00B10745"/>
    <w:p w14:paraId="42D603FE" w14:textId="0CAE7BBB"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2763F9D9" w14:textId="376D604F" w:rsidR="00B10745" w:rsidRPr="00764FC3" w:rsidRDefault="00C90E5F" w:rsidP="00B10745">
      <w:pPr>
        <w:jc w:val="both"/>
        <w:rPr>
          <w:rFonts w:cstheme="majorHAnsi"/>
        </w:rPr>
      </w:pPr>
      <w:r>
        <w:rPr>
          <w:noProof/>
          <w:lang w:val="en-GB" w:eastAsia="en-GB"/>
          <w14:ligatures w14:val="standardContextual"/>
        </w:rPr>
        <w:drawing>
          <wp:anchor distT="0" distB="0" distL="114300" distR="114300" simplePos="0" relativeHeight="251875328" behindDoc="0" locked="0" layoutInCell="1" allowOverlap="1" wp14:anchorId="37539A0D" wp14:editId="056BCBE1">
            <wp:simplePos x="0" y="0"/>
            <wp:positionH relativeFrom="column">
              <wp:posOffset>1800225</wp:posOffset>
            </wp:positionH>
            <wp:positionV relativeFrom="paragraph">
              <wp:posOffset>252730</wp:posOffset>
            </wp:positionV>
            <wp:extent cx="3840480" cy="2743200"/>
            <wp:effectExtent l="0" t="0" r="7620" b="0"/>
            <wp:wrapSquare wrapText="bothSides"/>
            <wp:docPr id="1081546582" name="Chart 108154658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anchor>
        </w:drawing>
      </w:r>
      <w:r w:rsidR="00B10745" w:rsidRPr="00764FC3">
        <w:rPr>
          <w:rFonts w:cstheme="majorHAnsi"/>
        </w:rPr>
        <w:t>Prosečni učinak opštine Srbica u 2</w:t>
      </w:r>
      <w:r>
        <w:rPr>
          <w:rFonts w:cstheme="majorHAnsi"/>
        </w:rPr>
        <w:t>9</w:t>
      </w:r>
      <w:r w:rsidR="00B10745" w:rsidRPr="00764FC3">
        <w:rPr>
          <w:rFonts w:cstheme="majorHAnsi"/>
        </w:rPr>
        <w:t xml:space="preserve"> procenjenih pokazatelja je 64 bodova od ukupno 9</w:t>
      </w:r>
      <w:r>
        <w:rPr>
          <w:rFonts w:cstheme="majorHAnsi"/>
        </w:rPr>
        <w:t>8</w:t>
      </w:r>
      <w:r w:rsidR="00B10745" w:rsidRPr="00764FC3">
        <w:rPr>
          <w:rFonts w:cstheme="majorHAnsi"/>
        </w:rPr>
        <w:t xml:space="preserve"> mogućih bodova (</w:t>
      </w:r>
      <w:r>
        <w:rPr>
          <w:rFonts w:cstheme="majorHAnsi"/>
        </w:rPr>
        <w:t>73.47</w:t>
      </w:r>
      <w:r w:rsidR="00B10745" w:rsidRPr="00764FC3">
        <w:rPr>
          <w:rFonts w:cstheme="majorHAnsi"/>
        </w:rPr>
        <w:t>%).</w:t>
      </w:r>
      <w:r w:rsidR="00B10745" w:rsidRPr="00764FC3">
        <w:t xml:space="preserve"> </w:t>
      </w:r>
    </w:p>
    <w:p w14:paraId="4174B3C0" w14:textId="2E465E26" w:rsidR="00B10745" w:rsidRPr="00764FC3" w:rsidRDefault="00B10745" w:rsidP="00B10745">
      <w:pPr>
        <w:jc w:val="both"/>
        <w:rPr>
          <w:rFonts w:cstheme="majorHAnsi"/>
        </w:rPr>
      </w:pPr>
      <w:r w:rsidRPr="00764FC3">
        <w:rPr>
          <w:rFonts w:cstheme="majorHAnsi"/>
        </w:rPr>
        <w:t>Prosečni učinak u 1</w:t>
      </w:r>
      <w:r w:rsidR="00C90E5F">
        <w:rPr>
          <w:rFonts w:cstheme="majorHAnsi"/>
        </w:rPr>
        <w:t>3</w:t>
      </w:r>
      <w:r w:rsidRPr="00764FC3">
        <w:rPr>
          <w:rFonts w:cstheme="majorHAnsi"/>
        </w:rPr>
        <w:t xml:space="preserve"> pokazatelja procenjenih u okviru oblasti ‘Demokratsko upravljanje’ iznosi 3</w:t>
      </w:r>
      <w:r w:rsidR="00C90E5F">
        <w:rPr>
          <w:rFonts w:cstheme="majorHAnsi"/>
        </w:rPr>
        <w:t>7</w:t>
      </w:r>
      <w:r w:rsidRPr="00764FC3">
        <w:rPr>
          <w:rFonts w:cstheme="majorHAnsi"/>
        </w:rPr>
        <w:t xml:space="preserve"> bodova od ukupno </w:t>
      </w:r>
      <w:r w:rsidR="00C90E5F">
        <w:rPr>
          <w:rFonts w:cstheme="majorHAnsi"/>
        </w:rPr>
        <w:t>40</w:t>
      </w:r>
      <w:r w:rsidRPr="00764FC3">
        <w:rPr>
          <w:rFonts w:cstheme="majorHAnsi"/>
        </w:rPr>
        <w:t xml:space="preserve"> mogućih bodova (</w:t>
      </w:r>
      <w:r w:rsidR="00C90E5F">
        <w:rPr>
          <w:rFonts w:cstheme="majorHAnsi"/>
        </w:rPr>
        <w:t>92.50</w:t>
      </w:r>
      <w:r w:rsidRPr="00764FC3">
        <w:rPr>
          <w:rFonts w:cstheme="majorHAnsi"/>
        </w:rPr>
        <w:t>%).</w:t>
      </w:r>
    </w:p>
    <w:p w14:paraId="3520B640" w14:textId="31EB23E5"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C90E5F">
        <w:rPr>
          <w:rFonts w:cstheme="majorHAnsi"/>
        </w:rPr>
        <w:t>15</w:t>
      </w:r>
      <w:r w:rsidRPr="00764FC3">
        <w:rPr>
          <w:rFonts w:cstheme="majorHAnsi"/>
        </w:rPr>
        <w:t xml:space="preserve"> bodova od ukupno </w:t>
      </w:r>
      <w:r w:rsidR="00C90E5F">
        <w:rPr>
          <w:rFonts w:cstheme="majorHAnsi"/>
        </w:rPr>
        <w:t>28</w:t>
      </w:r>
      <w:r w:rsidRPr="00764FC3">
        <w:rPr>
          <w:rFonts w:cstheme="majorHAnsi"/>
        </w:rPr>
        <w:t xml:space="preserve"> mogućih bodova (</w:t>
      </w:r>
      <w:r w:rsidR="00C90E5F">
        <w:rPr>
          <w:rFonts w:cstheme="majorHAnsi"/>
        </w:rPr>
        <w:t>53.57</w:t>
      </w:r>
      <w:r w:rsidRPr="00764FC3">
        <w:rPr>
          <w:rFonts w:cstheme="majorHAnsi"/>
        </w:rPr>
        <w:t>%).</w:t>
      </w:r>
    </w:p>
    <w:p w14:paraId="42FC8580" w14:textId="54BDED0D" w:rsidR="00B10745" w:rsidRPr="00764FC3" w:rsidRDefault="00B10745" w:rsidP="00B10745">
      <w:pPr>
        <w:jc w:val="both"/>
        <w:rPr>
          <w:rFonts w:cstheme="majorHAnsi"/>
        </w:rPr>
      </w:pPr>
      <w:r w:rsidRPr="00764FC3">
        <w:rPr>
          <w:rFonts w:cstheme="majorHAnsi"/>
        </w:rPr>
        <w:t xml:space="preserve">Prosečni učinak u </w:t>
      </w:r>
      <w:r w:rsidR="00C90E5F">
        <w:rPr>
          <w:rFonts w:cstheme="majorHAnsi"/>
        </w:rPr>
        <w:t>9</w:t>
      </w:r>
      <w:r w:rsidRPr="00764FC3">
        <w:rPr>
          <w:rFonts w:cstheme="majorHAnsi"/>
        </w:rPr>
        <w:t xml:space="preserve"> pokazatelja procenjenih u okviru oblasti ‘Pružanje usluga’ je </w:t>
      </w:r>
      <w:r w:rsidR="00C90E5F">
        <w:rPr>
          <w:rFonts w:cstheme="majorHAnsi"/>
        </w:rPr>
        <w:t>20</w:t>
      </w:r>
      <w:r w:rsidRPr="00764FC3">
        <w:rPr>
          <w:rFonts w:cstheme="majorHAnsi"/>
        </w:rPr>
        <w:t xml:space="preserve"> bodova od ukupno </w:t>
      </w:r>
      <w:r w:rsidR="00C90E5F">
        <w:rPr>
          <w:rFonts w:cstheme="majorHAnsi"/>
        </w:rPr>
        <w:t>30</w:t>
      </w:r>
      <w:r w:rsidRPr="00764FC3">
        <w:rPr>
          <w:rFonts w:cstheme="majorHAnsi"/>
        </w:rPr>
        <w:t xml:space="preserve"> mogućih bodova (</w:t>
      </w:r>
      <w:r w:rsidR="00C90E5F">
        <w:rPr>
          <w:rFonts w:cstheme="majorHAnsi"/>
        </w:rPr>
        <w:t>66.67</w:t>
      </w:r>
      <w:r w:rsidRPr="00764FC3">
        <w:rPr>
          <w:rFonts w:cstheme="majorHAnsi"/>
        </w:rPr>
        <w:t>%).</w:t>
      </w:r>
    </w:p>
    <w:p w14:paraId="6C9A4794" w14:textId="77777777" w:rsidR="00B10745" w:rsidRPr="00764FC3" w:rsidRDefault="00B10745" w:rsidP="00B10745"/>
    <w:p w14:paraId="75B8EEED" w14:textId="77777777" w:rsidR="00B10745" w:rsidRPr="00764FC3" w:rsidRDefault="00B10745" w:rsidP="00B10745">
      <w:pPr>
        <w:jc w:val="both"/>
      </w:pPr>
    </w:p>
    <w:p w14:paraId="52B2E52B" w14:textId="77777777" w:rsidR="00B10745" w:rsidRPr="00764FC3" w:rsidRDefault="00B10745" w:rsidP="00B10745"/>
    <w:p w14:paraId="340E9231"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2E0B2709" w14:textId="743FF6AE"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Suva Reka</w:t>
      </w:r>
    </w:p>
    <w:p w14:paraId="7CE557D0" w14:textId="4A3C6C31"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r w:rsidRPr="00764FC3">
        <w:rPr>
          <w:rFonts w:eastAsiaTheme="majorEastAsia" w:cstheme="majorBidi"/>
          <w:b/>
        </w:rPr>
        <w:br/>
      </w:r>
    </w:p>
    <w:p w14:paraId="0566B4B6" w14:textId="6AB367FA" w:rsidR="00B10745" w:rsidRPr="00C90E5F" w:rsidRDefault="00C90E5F" w:rsidP="00B10745">
      <w:pPr>
        <w:jc w:val="both"/>
        <w:rPr>
          <w:rFonts w:cstheme="majorHAnsi"/>
          <w:lang w:val="sr-Latn-RS"/>
        </w:rPr>
      </w:pPr>
      <w:r>
        <w:rPr>
          <w:noProof/>
          <w:lang w:val="en-GB" w:eastAsia="en-GB"/>
          <w14:ligatures w14:val="standardContextual"/>
        </w:rPr>
        <w:drawing>
          <wp:anchor distT="0" distB="0" distL="114300" distR="114300" simplePos="0" relativeHeight="251876352" behindDoc="0" locked="0" layoutInCell="1" allowOverlap="1" wp14:anchorId="346ECF82" wp14:editId="1F703C12">
            <wp:simplePos x="0" y="0"/>
            <wp:positionH relativeFrom="column">
              <wp:posOffset>2019300</wp:posOffset>
            </wp:positionH>
            <wp:positionV relativeFrom="paragraph">
              <wp:posOffset>45085</wp:posOffset>
            </wp:positionV>
            <wp:extent cx="3840480" cy="2257200"/>
            <wp:effectExtent l="0" t="0" r="7620" b="10160"/>
            <wp:wrapSquare wrapText="bothSides"/>
            <wp:docPr id="1081546583" name="Chart 108154658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14:sizeRelV relativeFrom="margin">
              <wp14:pctHeight>0</wp14:pctHeight>
            </wp14:sizeRelV>
          </wp:anchor>
        </w:drawing>
      </w:r>
      <w:r w:rsidR="00B10745" w:rsidRPr="00764FC3">
        <w:rPr>
          <w:rFonts w:cstheme="majorHAnsi"/>
        </w:rPr>
        <w:t>Opština Suva Reka se</w:t>
      </w:r>
      <w:r>
        <w:rPr>
          <w:rFonts w:cstheme="majorHAnsi"/>
        </w:rPr>
        <w:t xml:space="preserve"> nije </w:t>
      </w:r>
      <w:r w:rsidR="00B10745" w:rsidRPr="00764FC3">
        <w:rPr>
          <w:rFonts w:cstheme="majorHAnsi"/>
        </w:rPr>
        <w:t xml:space="preserve"> kvalifikovala </w:t>
      </w:r>
      <w:r w:rsidR="002B04A5" w:rsidRPr="00764FC3">
        <w:rPr>
          <w:rFonts w:cstheme="majorHAnsi"/>
          <w:lang w:val="sr-Latn-RS"/>
        </w:rPr>
        <w:t>za grant za opštinski učinak za 202</w:t>
      </w:r>
      <w:r>
        <w:rPr>
          <w:rFonts w:cstheme="majorHAnsi"/>
          <w:lang w:val="sr-Latn-RS"/>
        </w:rPr>
        <w:t>6</w:t>
      </w:r>
      <w:r w:rsidR="002B04A5" w:rsidRPr="00764FC3">
        <w:rPr>
          <w:rFonts w:cstheme="majorHAnsi"/>
          <w:lang w:val="sr-Latn-RS"/>
        </w:rPr>
        <w:t xml:space="preserve">. godinu, na osnovu učinka za </w:t>
      </w:r>
      <w:r w:rsidR="00F41E1B">
        <w:rPr>
          <w:rFonts w:cstheme="majorHAnsi"/>
          <w:lang w:val="sr-Latn-RS"/>
        </w:rPr>
        <w:t>2024</w:t>
      </w:r>
      <w:r w:rsidR="002B04A5" w:rsidRPr="00764FC3">
        <w:rPr>
          <w:rFonts w:cstheme="majorHAnsi"/>
          <w:lang w:val="sr-Latn-RS"/>
        </w:rPr>
        <w:t>. godinu.</w:t>
      </w:r>
      <w:r w:rsidR="005C30A9" w:rsidRPr="00764FC3">
        <w:rPr>
          <w:rFonts w:cstheme="majorHAnsi"/>
        </w:rPr>
        <w:t xml:space="preserve"> </w:t>
      </w:r>
    </w:p>
    <w:p w14:paraId="18C578AE" w14:textId="77777777" w:rsidR="00C90E5F" w:rsidRPr="00764FC3" w:rsidRDefault="00C90E5F" w:rsidP="00C90E5F">
      <w:pPr>
        <w:jc w:val="both"/>
        <w:rPr>
          <w:rFonts w:cstheme="majorHAnsi"/>
        </w:rPr>
      </w:pPr>
      <w:r w:rsidRPr="00764FC3">
        <w:rPr>
          <w:rFonts w:cstheme="majorHAnsi"/>
        </w:rPr>
        <w:t>Minimalni uslovi broj 3 (revizorsko mišljenje mora biti najmanje nemodifikovano sa akcentom na to pitanje)</w:t>
      </w:r>
      <w:r>
        <w:rPr>
          <w:rFonts w:cstheme="majorHAnsi"/>
        </w:rPr>
        <w:t xml:space="preserve"> nije ispunjen.</w:t>
      </w:r>
    </w:p>
    <w:p w14:paraId="01B99059" w14:textId="77777777" w:rsidR="00B10745" w:rsidRPr="00764FC3" w:rsidRDefault="00B10745" w:rsidP="00B10745">
      <w:pPr>
        <w:rPr>
          <w:b/>
        </w:rPr>
      </w:pPr>
    </w:p>
    <w:p w14:paraId="46E35131" w14:textId="77777777" w:rsidR="00B10745" w:rsidRPr="00764FC3" w:rsidRDefault="00B10745" w:rsidP="00B10745">
      <w:pPr>
        <w:rPr>
          <w:b/>
        </w:rPr>
      </w:pPr>
    </w:p>
    <w:p w14:paraId="19AE9AC0" w14:textId="77777777" w:rsidR="00B10745" w:rsidRPr="00764FC3" w:rsidRDefault="00B10745" w:rsidP="00B10745">
      <w:pPr>
        <w:rPr>
          <w:b/>
        </w:rPr>
      </w:pPr>
    </w:p>
    <w:p w14:paraId="5A7368FA" w14:textId="77777777" w:rsidR="00B10745" w:rsidRPr="00764FC3" w:rsidRDefault="00B10745" w:rsidP="00B10745">
      <w:pPr>
        <w:rPr>
          <w:b/>
        </w:rPr>
      </w:pPr>
    </w:p>
    <w:p w14:paraId="188F25A0" w14:textId="28E3D8CD"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46A326B1" w14:textId="503E7440" w:rsidR="00B10745" w:rsidRPr="00764FC3" w:rsidRDefault="00B10745" w:rsidP="00B10745">
      <w:pPr>
        <w:jc w:val="both"/>
        <w:rPr>
          <w:rFonts w:cstheme="majorHAnsi"/>
        </w:rPr>
      </w:pPr>
      <w:r w:rsidRPr="00764FC3">
        <w:rPr>
          <w:rFonts w:cstheme="majorHAnsi"/>
        </w:rPr>
        <w:t>Prosečni učinak opštine Suva Reka u 2</w:t>
      </w:r>
      <w:r w:rsidR="00C90E5F">
        <w:rPr>
          <w:rFonts w:cstheme="majorHAnsi"/>
        </w:rPr>
        <w:t>9</w:t>
      </w:r>
      <w:r w:rsidRPr="00764FC3">
        <w:rPr>
          <w:rFonts w:cstheme="majorHAnsi"/>
        </w:rPr>
        <w:t xml:space="preserve"> procenjenih pokazatelja je </w:t>
      </w:r>
      <w:r w:rsidR="00C90E5F">
        <w:rPr>
          <w:rFonts w:cstheme="majorHAnsi"/>
        </w:rPr>
        <w:t>58</w:t>
      </w:r>
      <w:r w:rsidRPr="00764FC3">
        <w:rPr>
          <w:rFonts w:cstheme="majorHAnsi"/>
        </w:rPr>
        <w:t xml:space="preserve"> bodova od ukupno 9</w:t>
      </w:r>
      <w:r w:rsidR="00C90E5F">
        <w:rPr>
          <w:rFonts w:cstheme="majorHAnsi"/>
        </w:rPr>
        <w:t>8</w:t>
      </w:r>
      <w:r w:rsidRPr="00764FC3">
        <w:rPr>
          <w:rFonts w:cstheme="majorHAnsi"/>
        </w:rPr>
        <w:t xml:space="preserve"> mogućih bodova (</w:t>
      </w:r>
      <w:r w:rsidR="00C90E5F">
        <w:rPr>
          <w:rFonts w:cstheme="majorHAnsi"/>
        </w:rPr>
        <w:t>59.18</w:t>
      </w:r>
      <w:r w:rsidRPr="00764FC3">
        <w:rPr>
          <w:rFonts w:cstheme="majorHAnsi"/>
        </w:rPr>
        <w:t>%).</w:t>
      </w:r>
      <w:r w:rsidRPr="00764FC3">
        <w:t xml:space="preserve"> </w:t>
      </w:r>
    </w:p>
    <w:p w14:paraId="7C103DA6" w14:textId="5DE5BB3E" w:rsidR="00B10745" w:rsidRPr="00764FC3" w:rsidRDefault="00C90E5F" w:rsidP="00B10745">
      <w:pPr>
        <w:jc w:val="both"/>
        <w:rPr>
          <w:rFonts w:cstheme="majorHAnsi"/>
        </w:rPr>
      </w:pPr>
      <w:r>
        <w:rPr>
          <w:noProof/>
          <w:lang w:val="en-GB" w:eastAsia="en-GB"/>
          <w14:ligatures w14:val="standardContextual"/>
        </w:rPr>
        <w:drawing>
          <wp:anchor distT="0" distB="0" distL="114300" distR="114300" simplePos="0" relativeHeight="251877376" behindDoc="0" locked="0" layoutInCell="1" allowOverlap="1" wp14:anchorId="105E41C6" wp14:editId="4742BF94">
            <wp:simplePos x="0" y="0"/>
            <wp:positionH relativeFrom="column">
              <wp:posOffset>1895475</wp:posOffset>
            </wp:positionH>
            <wp:positionV relativeFrom="paragraph">
              <wp:posOffset>2540</wp:posOffset>
            </wp:positionV>
            <wp:extent cx="3840480" cy="2743200"/>
            <wp:effectExtent l="0" t="0" r="7620" b="0"/>
            <wp:wrapSquare wrapText="bothSides"/>
            <wp:docPr id="1081546584" name="Chart 108154658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anchor>
        </w:drawing>
      </w:r>
      <w:r w:rsidR="00B10745" w:rsidRPr="00764FC3">
        <w:rPr>
          <w:rFonts w:cstheme="majorHAnsi"/>
        </w:rPr>
        <w:t>Prosečni učinak u 1</w:t>
      </w:r>
      <w:r>
        <w:rPr>
          <w:rFonts w:cstheme="majorHAnsi"/>
        </w:rPr>
        <w:t>3</w:t>
      </w:r>
      <w:r w:rsidR="00B10745" w:rsidRPr="00764FC3">
        <w:rPr>
          <w:rFonts w:cstheme="majorHAnsi"/>
        </w:rPr>
        <w:t xml:space="preserve"> pokazatelja procenjenih u okviru oblasti ‘Demokratsko upravljanje’ iznosi 33 bodova od ukupno </w:t>
      </w:r>
      <w:r>
        <w:rPr>
          <w:rFonts w:cstheme="majorHAnsi"/>
        </w:rPr>
        <w:t>40</w:t>
      </w:r>
      <w:r w:rsidR="00B10745" w:rsidRPr="00764FC3">
        <w:rPr>
          <w:rFonts w:cstheme="majorHAnsi"/>
        </w:rPr>
        <w:t xml:space="preserve"> mogućih bodova (</w:t>
      </w:r>
      <w:r>
        <w:rPr>
          <w:rFonts w:cstheme="majorHAnsi"/>
        </w:rPr>
        <w:t>82.50</w:t>
      </w:r>
      <w:r w:rsidR="00B10745" w:rsidRPr="00764FC3">
        <w:rPr>
          <w:rFonts w:cstheme="majorHAnsi"/>
        </w:rPr>
        <w:t>%).</w:t>
      </w:r>
    </w:p>
    <w:p w14:paraId="1619F1FB" w14:textId="36E8641D"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C90E5F">
        <w:rPr>
          <w:rFonts w:cstheme="majorHAnsi"/>
        </w:rPr>
        <w:t xml:space="preserve">13 </w:t>
      </w:r>
      <w:r w:rsidRPr="00764FC3">
        <w:rPr>
          <w:rFonts w:cstheme="majorHAnsi"/>
        </w:rPr>
        <w:t xml:space="preserve">bodova od ukupno </w:t>
      </w:r>
      <w:r w:rsidR="00C90E5F">
        <w:rPr>
          <w:rFonts w:cstheme="majorHAnsi"/>
        </w:rPr>
        <w:t>28</w:t>
      </w:r>
      <w:r w:rsidRPr="00764FC3">
        <w:rPr>
          <w:rFonts w:cstheme="majorHAnsi"/>
        </w:rPr>
        <w:t xml:space="preserve"> mogućih bodova (</w:t>
      </w:r>
      <w:r w:rsidR="00C90E5F">
        <w:rPr>
          <w:rFonts w:cstheme="majorHAnsi"/>
        </w:rPr>
        <w:t>46.43</w:t>
      </w:r>
      <w:r w:rsidRPr="00764FC3">
        <w:rPr>
          <w:rFonts w:cstheme="majorHAnsi"/>
        </w:rPr>
        <w:t>%).</w:t>
      </w:r>
    </w:p>
    <w:p w14:paraId="7C64FA94" w14:textId="3CDE8CC0" w:rsidR="00B10745" w:rsidRPr="00764FC3" w:rsidRDefault="00B10745" w:rsidP="00B10745">
      <w:pPr>
        <w:jc w:val="both"/>
        <w:rPr>
          <w:rFonts w:cstheme="majorHAnsi"/>
        </w:rPr>
      </w:pPr>
      <w:r w:rsidRPr="00764FC3">
        <w:rPr>
          <w:rFonts w:cstheme="majorHAnsi"/>
        </w:rPr>
        <w:t xml:space="preserve">Prosečni učinak u </w:t>
      </w:r>
      <w:r w:rsidR="00C90E5F">
        <w:rPr>
          <w:rFonts w:cstheme="majorHAnsi"/>
        </w:rPr>
        <w:t>9</w:t>
      </w:r>
      <w:r w:rsidRPr="00764FC3">
        <w:rPr>
          <w:rFonts w:cstheme="majorHAnsi"/>
        </w:rPr>
        <w:t xml:space="preserve"> pokazatelja procenjenih u okviru oblasti ‘Pružanje usluga’ je </w:t>
      </w:r>
      <w:r w:rsidR="00C90E5F">
        <w:rPr>
          <w:rFonts w:cstheme="majorHAnsi"/>
        </w:rPr>
        <w:t>12</w:t>
      </w:r>
      <w:r w:rsidRPr="00764FC3">
        <w:rPr>
          <w:rFonts w:cstheme="majorHAnsi"/>
        </w:rPr>
        <w:t xml:space="preserve"> bodova od ukupno </w:t>
      </w:r>
      <w:r w:rsidR="00C90E5F">
        <w:rPr>
          <w:rFonts w:cstheme="majorHAnsi"/>
        </w:rPr>
        <w:t>30</w:t>
      </w:r>
      <w:r w:rsidRPr="00764FC3">
        <w:rPr>
          <w:rFonts w:cstheme="majorHAnsi"/>
        </w:rPr>
        <w:t xml:space="preserve"> mogućih bodova (</w:t>
      </w:r>
      <w:r w:rsidR="00C90E5F">
        <w:rPr>
          <w:rFonts w:cstheme="majorHAnsi"/>
        </w:rPr>
        <w:t>40.00</w:t>
      </w:r>
      <w:r w:rsidRPr="00764FC3">
        <w:rPr>
          <w:rFonts w:cstheme="majorHAnsi"/>
        </w:rPr>
        <w:t>%).</w:t>
      </w:r>
    </w:p>
    <w:p w14:paraId="48EDFC25" w14:textId="77777777" w:rsidR="00B10745" w:rsidRPr="00764FC3" w:rsidRDefault="00B10745" w:rsidP="00B10745"/>
    <w:p w14:paraId="6CEF055C" w14:textId="77777777" w:rsidR="00B10745" w:rsidRPr="00764FC3" w:rsidRDefault="00B10745" w:rsidP="00B10745">
      <w:pPr>
        <w:jc w:val="both"/>
        <w:rPr>
          <w:rFonts w:cstheme="majorHAnsi"/>
        </w:rPr>
      </w:pPr>
    </w:p>
    <w:p w14:paraId="28AD862C"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24010141" w14:textId="0EACAECA" w:rsidR="00B10745" w:rsidRPr="00764FC3" w:rsidRDefault="00B10745" w:rsidP="00B10745">
      <w:pPr>
        <w:rPr>
          <w:rFonts w:eastAsiaTheme="majorEastAsia" w:cstheme="majorBidi"/>
          <w:b/>
        </w:rPr>
      </w:pPr>
      <w:r w:rsidRPr="00764FC3">
        <w:rPr>
          <w:rFonts w:eastAsiaTheme="majorEastAsia" w:cstheme="majorBidi"/>
          <w:b/>
        </w:rPr>
        <w:lastRenderedPageBreak/>
        <w:t xml:space="preserve">Rezime rezultata za </w:t>
      </w:r>
      <w:r w:rsidR="00F41E1B">
        <w:rPr>
          <w:rFonts w:eastAsiaTheme="majorEastAsia" w:cstheme="majorBidi"/>
          <w:b/>
        </w:rPr>
        <w:t>2024</w:t>
      </w:r>
      <w:r w:rsidRPr="00764FC3">
        <w:rPr>
          <w:rFonts w:eastAsiaTheme="majorEastAsia" w:cstheme="majorBidi"/>
          <w:b/>
        </w:rPr>
        <w:t>. godinu za grant opštinskog učinka - Opština Vitina</w:t>
      </w:r>
    </w:p>
    <w:p w14:paraId="5599E817" w14:textId="759AFC82"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0C698D28" w14:textId="13EBBA43" w:rsidR="00B10745" w:rsidRPr="00764FC3" w:rsidRDefault="00C90E5F" w:rsidP="00B10745">
      <w:pPr>
        <w:jc w:val="both"/>
        <w:rPr>
          <w:rFonts w:cstheme="majorHAnsi"/>
          <w:lang w:eastAsia="sr-Latn-RS"/>
        </w:rPr>
      </w:pPr>
      <w:r>
        <w:rPr>
          <w:noProof/>
          <w:lang w:val="en-GB" w:eastAsia="en-GB"/>
          <w14:ligatures w14:val="standardContextual"/>
        </w:rPr>
        <w:drawing>
          <wp:anchor distT="0" distB="0" distL="114300" distR="114300" simplePos="0" relativeHeight="251878400" behindDoc="0" locked="0" layoutInCell="1" allowOverlap="1" wp14:anchorId="43529A77" wp14:editId="2FBD3B4F">
            <wp:simplePos x="0" y="0"/>
            <wp:positionH relativeFrom="column">
              <wp:posOffset>2000250</wp:posOffset>
            </wp:positionH>
            <wp:positionV relativeFrom="paragraph">
              <wp:posOffset>76200</wp:posOffset>
            </wp:positionV>
            <wp:extent cx="3840480" cy="2257200"/>
            <wp:effectExtent l="0" t="0" r="7620" b="10160"/>
            <wp:wrapSquare wrapText="bothSides"/>
            <wp:docPr id="1081546585" name="Chart 108154658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14:sizeRelV relativeFrom="margin">
              <wp14:pctHeight>0</wp14:pctHeight>
            </wp14:sizeRelV>
          </wp:anchor>
        </w:drawing>
      </w:r>
      <w:r w:rsidR="00B10745" w:rsidRPr="00764FC3">
        <w:rPr>
          <w:rFonts w:cstheme="majorHAnsi"/>
        </w:rPr>
        <w:t xml:space="preserve">Opština Vitina se nije kvalifikovala </w:t>
      </w:r>
      <w:r w:rsidR="00DD4372" w:rsidRPr="00764FC3">
        <w:rPr>
          <w:rFonts w:cstheme="majorHAnsi"/>
        </w:rPr>
        <w:t>za grant za opštinski učinak za 202</w:t>
      </w:r>
      <w:r w:rsidR="006B07CC">
        <w:rPr>
          <w:rFonts w:cstheme="majorHAnsi"/>
        </w:rPr>
        <w:t>6</w:t>
      </w:r>
      <w:r w:rsidR="00DD4372" w:rsidRPr="00764FC3">
        <w:rPr>
          <w:rFonts w:cstheme="majorHAnsi"/>
        </w:rPr>
        <w:t xml:space="preserve">. godinu, na osnovu učinka za </w:t>
      </w:r>
      <w:r w:rsidR="00F41E1B">
        <w:rPr>
          <w:rFonts w:cstheme="majorHAnsi"/>
        </w:rPr>
        <w:t>2024</w:t>
      </w:r>
      <w:r w:rsidR="00DD4372" w:rsidRPr="00764FC3">
        <w:rPr>
          <w:rFonts w:cstheme="majorHAnsi"/>
        </w:rPr>
        <w:t>. godinu.</w:t>
      </w:r>
    </w:p>
    <w:p w14:paraId="4858DFFE" w14:textId="083C62FE" w:rsidR="00B10745" w:rsidRPr="00764FC3" w:rsidRDefault="00B10745" w:rsidP="00B10745">
      <w:pPr>
        <w:rPr>
          <w:rFonts w:cstheme="majorHAnsi"/>
        </w:rPr>
      </w:pPr>
    </w:p>
    <w:p w14:paraId="1495F06A" w14:textId="74923EE9" w:rsidR="00B10745" w:rsidRPr="00764FC3" w:rsidRDefault="00B10745" w:rsidP="00B10745">
      <w:pPr>
        <w:tabs>
          <w:tab w:val="left" w:pos="1190"/>
        </w:tabs>
        <w:jc w:val="both"/>
        <w:rPr>
          <w:b/>
        </w:rPr>
      </w:pPr>
      <w:r w:rsidRPr="00764FC3">
        <w:rPr>
          <w:rFonts w:cstheme="majorHAnsi"/>
        </w:rPr>
        <w:t>Minimalni uslov broj 3 (Mišljenje revizije mora biti najmanje nemodifikovano sa isticanjem pitanja) nije ispunjen.</w:t>
      </w:r>
    </w:p>
    <w:p w14:paraId="5734BD84" w14:textId="19C2C4F7" w:rsidR="00B10745" w:rsidRPr="00764FC3" w:rsidRDefault="00B10745" w:rsidP="00B10745">
      <w:pPr>
        <w:tabs>
          <w:tab w:val="left" w:pos="1190"/>
        </w:tabs>
        <w:jc w:val="both"/>
      </w:pPr>
      <w:r w:rsidRPr="00764FC3">
        <w:rPr>
          <w:b/>
        </w:rPr>
        <w:tab/>
      </w:r>
    </w:p>
    <w:p w14:paraId="1D5754D6" w14:textId="77777777" w:rsidR="00B10745" w:rsidRPr="00764FC3" w:rsidRDefault="00B10745" w:rsidP="00B10745">
      <w:pPr>
        <w:jc w:val="both"/>
      </w:pPr>
    </w:p>
    <w:p w14:paraId="4EE6929C" w14:textId="77777777" w:rsidR="00B10745" w:rsidRPr="00764FC3" w:rsidRDefault="00B10745" w:rsidP="00B10745">
      <w:pPr>
        <w:rPr>
          <w:b/>
        </w:rPr>
      </w:pPr>
    </w:p>
    <w:p w14:paraId="7E9344BB" w14:textId="77777777" w:rsidR="00B10745" w:rsidRPr="00764FC3" w:rsidRDefault="00B10745" w:rsidP="00B10745">
      <w:pPr>
        <w:rPr>
          <w:b/>
        </w:rPr>
      </w:pPr>
    </w:p>
    <w:p w14:paraId="72C0C6DF" w14:textId="05755817"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689A4C79" w14:textId="7E65E6A2" w:rsidR="00B10745" w:rsidRPr="00764FC3" w:rsidRDefault="006B07CC" w:rsidP="00B10745">
      <w:pPr>
        <w:jc w:val="both"/>
      </w:pPr>
      <w:r>
        <w:rPr>
          <w:noProof/>
          <w:lang w:val="en-GB" w:eastAsia="en-GB"/>
          <w14:ligatures w14:val="standardContextual"/>
        </w:rPr>
        <w:drawing>
          <wp:anchor distT="0" distB="0" distL="114300" distR="114300" simplePos="0" relativeHeight="251879424" behindDoc="0" locked="0" layoutInCell="1" allowOverlap="1" wp14:anchorId="4C015CC0" wp14:editId="423E1B87">
            <wp:simplePos x="0" y="0"/>
            <wp:positionH relativeFrom="column">
              <wp:posOffset>1885950</wp:posOffset>
            </wp:positionH>
            <wp:positionV relativeFrom="paragraph">
              <wp:posOffset>268605</wp:posOffset>
            </wp:positionV>
            <wp:extent cx="3840480" cy="2743200"/>
            <wp:effectExtent l="0" t="0" r="7620" b="0"/>
            <wp:wrapSquare wrapText="bothSides"/>
            <wp:docPr id="1081546586" name="Chart 108154658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anchor>
        </w:drawing>
      </w:r>
      <w:r w:rsidR="00B10745" w:rsidRPr="00764FC3">
        <w:rPr>
          <w:rFonts w:cstheme="majorHAnsi"/>
        </w:rPr>
        <w:t>Prosečni učinak opštine Vitina u 2</w:t>
      </w:r>
      <w:r>
        <w:rPr>
          <w:rFonts w:cstheme="majorHAnsi"/>
        </w:rPr>
        <w:t>9</w:t>
      </w:r>
      <w:r w:rsidR="00B10745" w:rsidRPr="00764FC3">
        <w:rPr>
          <w:rFonts w:cstheme="majorHAnsi"/>
        </w:rPr>
        <w:t xml:space="preserve"> procenjenih pokazatelja je </w:t>
      </w:r>
      <w:r>
        <w:rPr>
          <w:rFonts w:cstheme="majorHAnsi"/>
        </w:rPr>
        <w:t>31</w:t>
      </w:r>
      <w:r w:rsidR="00B10745" w:rsidRPr="00764FC3">
        <w:rPr>
          <w:rFonts w:cstheme="majorHAnsi"/>
        </w:rPr>
        <w:t xml:space="preserve"> bodova od ukupno 9</w:t>
      </w:r>
      <w:r>
        <w:rPr>
          <w:rFonts w:cstheme="majorHAnsi"/>
        </w:rPr>
        <w:t>8</w:t>
      </w:r>
      <w:r w:rsidR="00B10745" w:rsidRPr="00764FC3">
        <w:rPr>
          <w:rFonts w:cstheme="majorHAnsi"/>
        </w:rPr>
        <w:t xml:space="preserve"> mogućih bodova (</w:t>
      </w:r>
      <w:r>
        <w:rPr>
          <w:rFonts w:cstheme="majorHAnsi"/>
        </w:rPr>
        <w:t>31.63</w:t>
      </w:r>
      <w:r w:rsidR="00B10745" w:rsidRPr="00764FC3">
        <w:rPr>
          <w:rFonts w:cstheme="majorHAnsi"/>
        </w:rPr>
        <w:t>%).</w:t>
      </w:r>
      <w:r w:rsidR="00B10745" w:rsidRPr="00764FC3">
        <w:t xml:space="preserve"> </w:t>
      </w:r>
    </w:p>
    <w:p w14:paraId="0274BAB7" w14:textId="58A07072" w:rsidR="00B10745" w:rsidRPr="00764FC3" w:rsidRDefault="00B10745" w:rsidP="00B10745">
      <w:pPr>
        <w:jc w:val="both"/>
        <w:rPr>
          <w:rFonts w:cstheme="majorHAnsi"/>
        </w:rPr>
      </w:pPr>
      <w:r w:rsidRPr="00764FC3">
        <w:rPr>
          <w:rFonts w:cstheme="majorHAnsi"/>
        </w:rPr>
        <w:t>Prosečni učinak u 1</w:t>
      </w:r>
      <w:r w:rsidR="006B07CC">
        <w:rPr>
          <w:rFonts w:cstheme="majorHAnsi"/>
        </w:rPr>
        <w:t>3</w:t>
      </w:r>
      <w:r w:rsidRPr="00764FC3">
        <w:rPr>
          <w:rFonts w:cstheme="majorHAnsi"/>
        </w:rPr>
        <w:t xml:space="preserve"> pokazatelja procenjenih u okviru oblasti ‘Demokratsko upravljanje’ iznosi 19 bodova od ukupno </w:t>
      </w:r>
      <w:r w:rsidR="006B07CC">
        <w:rPr>
          <w:rFonts w:cstheme="majorHAnsi"/>
        </w:rPr>
        <w:t>40</w:t>
      </w:r>
      <w:r w:rsidRPr="00764FC3">
        <w:rPr>
          <w:rFonts w:cstheme="majorHAnsi"/>
        </w:rPr>
        <w:t xml:space="preserve"> mogućih bodova (</w:t>
      </w:r>
      <w:r w:rsidR="006B07CC">
        <w:rPr>
          <w:rFonts w:cstheme="majorHAnsi"/>
        </w:rPr>
        <w:t>47.50</w:t>
      </w:r>
      <w:r w:rsidRPr="00764FC3">
        <w:rPr>
          <w:rFonts w:cstheme="majorHAnsi"/>
        </w:rPr>
        <w:t>%).</w:t>
      </w:r>
    </w:p>
    <w:p w14:paraId="532BC284" w14:textId="29962DCB" w:rsidR="00B10745" w:rsidRPr="00764FC3" w:rsidRDefault="00B10745" w:rsidP="00B10745">
      <w:pPr>
        <w:jc w:val="both"/>
        <w:rPr>
          <w:rFonts w:cstheme="majorHAnsi"/>
        </w:rPr>
      </w:pPr>
      <w:r w:rsidRPr="00764FC3">
        <w:rPr>
          <w:rFonts w:cstheme="majorHAnsi"/>
        </w:rPr>
        <w:t xml:space="preserve">Prosečni učinak u 7 pokazatelja procenjenih u okviru oblasti ‘Opštinsko upravljanje’ je </w:t>
      </w:r>
      <w:r w:rsidR="006B07CC">
        <w:rPr>
          <w:rFonts w:cstheme="majorHAnsi"/>
        </w:rPr>
        <w:t>6</w:t>
      </w:r>
      <w:r w:rsidRPr="00764FC3">
        <w:rPr>
          <w:rFonts w:cstheme="majorHAnsi"/>
        </w:rPr>
        <w:t xml:space="preserve"> bodova od ukupno 2</w:t>
      </w:r>
      <w:r w:rsidR="006B07CC">
        <w:rPr>
          <w:rFonts w:cstheme="majorHAnsi"/>
        </w:rPr>
        <w:t>8</w:t>
      </w:r>
      <w:r w:rsidRPr="00764FC3">
        <w:rPr>
          <w:rFonts w:cstheme="majorHAnsi"/>
        </w:rPr>
        <w:t xml:space="preserve"> mogućih bodova (</w:t>
      </w:r>
      <w:r w:rsidR="006B07CC">
        <w:rPr>
          <w:rFonts w:cstheme="majorHAnsi"/>
        </w:rPr>
        <w:t>21.43</w:t>
      </w:r>
      <w:r w:rsidRPr="00764FC3">
        <w:rPr>
          <w:rFonts w:cstheme="majorHAnsi"/>
        </w:rPr>
        <w:t>%).</w:t>
      </w:r>
    </w:p>
    <w:p w14:paraId="50D21919" w14:textId="4A3CEBA4" w:rsidR="00B10745" w:rsidRPr="00764FC3" w:rsidRDefault="00B10745" w:rsidP="00B10745">
      <w:pPr>
        <w:jc w:val="both"/>
        <w:rPr>
          <w:rFonts w:cstheme="majorHAnsi"/>
        </w:rPr>
      </w:pPr>
      <w:r w:rsidRPr="00764FC3">
        <w:rPr>
          <w:rFonts w:cstheme="majorHAnsi"/>
        </w:rPr>
        <w:t xml:space="preserve">Prosečni učinak u </w:t>
      </w:r>
      <w:r w:rsidR="006B07CC">
        <w:rPr>
          <w:rFonts w:cstheme="majorHAnsi"/>
        </w:rPr>
        <w:t>9</w:t>
      </w:r>
      <w:r w:rsidRPr="00764FC3">
        <w:rPr>
          <w:rFonts w:cstheme="majorHAnsi"/>
        </w:rPr>
        <w:t xml:space="preserve"> pokazatelja procenjenih u okviru oblasti ‘Pružanje usluga’ je </w:t>
      </w:r>
      <w:r w:rsidR="006B07CC">
        <w:rPr>
          <w:rFonts w:cstheme="majorHAnsi"/>
        </w:rPr>
        <w:t>6</w:t>
      </w:r>
      <w:r w:rsidRPr="00764FC3">
        <w:rPr>
          <w:rFonts w:cstheme="majorHAnsi"/>
        </w:rPr>
        <w:t xml:space="preserve"> bodova od ukupno </w:t>
      </w:r>
      <w:r w:rsidR="006B07CC">
        <w:rPr>
          <w:rFonts w:cstheme="majorHAnsi"/>
        </w:rPr>
        <w:t>30</w:t>
      </w:r>
      <w:r w:rsidRPr="00764FC3">
        <w:rPr>
          <w:rFonts w:cstheme="majorHAnsi"/>
        </w:rPr>
        <w:t>mogućih bodova (</w:t>
      </w:r>
      <w:r w:rsidR="006B07CC">
        <w:rPr>
          <w:rFonts w:cstheme="majorHAnsi"/>
        </w:rPr>
        <w:t>20.00</w:t>
      </w:r>
      <w:r w:rsidRPr="00764FC3">
        <w:rPr>
          <w:rFonts w:cstheme="majorHAnsi"/>
        </w:rPr>
        <w:t>%).</w:t>
      </w:r>
    </w:p>
    <w:p w14:paraId="2719A814" w14:textId="77777777" w:rsidR="00B10745" w:rsidRPr="00764FC3" w:rsidRDefault="00B10745" w:rsidP="00B10745"/>
    <w:p w14:paraId="1E51D27F"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440513B3" w14:textId="77777777" w:rsidR="00B10745" w:rsidRPr="00764FC3" w:rsidRDefault="00B10745" w:rsidP="00B10745">
      <w:pPr>
        <w:rPr>
          <w:rFonts w:eastAsiaTheme="majorEastAsia" w:cstheme="majorBidi"/>
          <w:b/>
        </w:rPr>
      </w:pPr>
      <w:r w:rsidRPr="00764FC3">
        <w:rPr>
          <w:rFonts w:eastAsiaTheme="majorEastAsia" w:cstheme="majorBidi"/>
          <w:b/>
        </w:rPr>
        <w:lastRenderedPageBreak/>
        <w:t>Rezime rezultata za 2021. godinu za grant opštinskog učinka - Opština Vučitrn</w:t>
      </w:r>
    </w:p>
    <w:p w14:paraId="11D19166" w14:textId="35721A45" w:rsidR="00B10745" w:rsidRPr="00764FC3" w:rsidRDefault="00B10745" w:rsidP="00B10745">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2FC3A197" w14:textId="6BB123AA" w:rsidR="00B10745" w:rsidRPr="00764FC3" w:rsidRDefault="006B07CC" w:rsidP="00B10745">
      <w:pPr>
        <w:jc w:val="both"/>
        <w:rPr>
          <w:rFonts w:cstheme="majorHAnsi"/>
        </w:rPr>
      </w:pPr>
      <w:r>
        <w:rPr>
          <w:noProof/>
          <w:lang w:val="en-GB" w:eastAsia="en-GB"/>
          <w14:ligatures w14:val="standardContextual"/>
        </w:rPr>
        <w:drawing>
          <wp:anchor distT="0" distB="0" distL="114300" distR="114300" simplePos="0" relativeHeight="251880448" behindDoc="0" locked="0" layoutInCell="1" allowOverlap="1" wp14:anchorId="6DBAEC28" wp14:editId="09990518">
            <wp:simplePos x="0" y="0"/>
            <wp:positionH relativeFrom="column">
              <wp:posOffset>1962150</wp:posOffset>
            </wp:positionH>
            <wp:positionV relativeFrom="paragraph">
              <wp:posOffset>228600</wp:posOffset>
            </wp:positionV>
            <wp:extent cx="3840480" cy="2257200"/>
            <wp:effectExtent l="0" t="0" r="7620" b="10160"/>
            <wp:wrapSquare wrapText="bothSides"/>
            <wp:docPr id="1081546587" name="Chart 108154658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14:sizeRelV relativeFrom="margin">
              <wp14:pctHeight>0</wp14:pctHeight>
            </wp14:sizeRelV>
          </wp:anchor>
        </w:drawing>
      </w:r>
    </w:p>
    <w:p w14:paraId="7F1AE5C8" w14:textId="74A15119" w:rsidR="00B10745" w:rsidRPr="00764FC3" w:rsidRDefault="00B10745" w:rsidP="00B10745">
      <w:pPr>
        <w:jc w:val="both"/>
        <w:rPr>
          <w:rFonts w:cstheme="majorHAnsi"/>
        </w:rPr>
      </w:pPr>
      <w:r w:rsidRPr="00764FC3">
        <w:rPr>
          <w:rFonts w:cstheme="majorHAnsi"/>
        </w:rPr>
        <w:t xml:space="preserve">Opština Vučitrn se nije kvalifikovala </w:t>
      </w:r>
      <w:r w:rsidR="00714C0E" w:rsidRPr="00764FC3">
        <w:rPr>
          <w:rFonts w:cstheme="majorHAnsi"/>
        </w:rPr>
        <w:t>za grant za opštinski učinak za 202</w:t>
      </w:r>
      <w:r w:rsidR="006B07CC">
        <w:rPr>
          <w:rFonts w:cstheme="majorHAnsi"/>
        </w:rPr>
        <w:t>6</w:t>
      </w:r>
      <w:r w:rsidR="00714C0E" w:rsidRPr="00764FC3">
        <w:rPr>
          <w:rFonts w:cstheme="majorHAnsi"/>
        </w:rPr>
        <w:t xml:space="preserve">. godinu, na osnovu učinka za </w:t>
      </w:r>
      <w:r w:rsidR="00F41E1B">
        <w:rPr>
          <w:rFonts w:cstheme="majorHAnsi"/>
        </w:rPr>
        <w:t>2024</w:t>
      </w:r>
      <w:r w:rsidR="00714C0E" w:rsidRPr="00764FC3">
        <w:rPr>
          <w:rFonts w:cstheme="majorHAnsi"/>
        </w:rPr>
        <w:t>. godinu.</w:t>
      </w:r>
    </w:p>
    <w:p w14:paraId="5009D65B" w14:textId="5D1EAB76" w:rsidR="00B10745" w:rsidRPr="006B07CC" w:rsidRDefault="00B10745" w:rsidP="006B07CC">
      <w:pPr>
        <w:tabs>
          <w:tab w:val="left" w:pos="1190"/>
        </w:tabs>
        <w:jc w:val="both"/>
      </w:pPr>
      <w:r w:rsidRPr="00764FC3">
        <w:rPr>
          <w:rFonts w:cstheme="majorHAnsi"/>
        </w:rPr>
        <w:t>Minimalni uslov</w:t>
      </w:r>
      <w:r w:rsidR="006B07CC">
        <w:rPr>
          <w:rFonts w:cstheme="majorHAnsi"/>
        </w:rPr>
        <w:t>i</w:t>
      </w:r>
      <w:r w:rsidRPr="00764FC3">
        <w:rPr>
          <w:rFonts w:cstheme="majorHAnsi"/>
        </w:rPr>
        <w:t xml:space="preserve"> broj</w:t>
      </w:r>
      <w:r w:rsidR="006B07CC">
        <w:rPr>
          <w:rFonts w:cstheme="majorHAnsi"/>
        </w:rPr>
        <w:t xml:space="preserve"> </w:t>
      </w:r>
      <w:r w:rsidR="006B07CC" w:rsidRPr="00764FC3">
        <w:rPr>
          <w:rFonts w:cstheme="majorHAnsi"/>
        </w:rPr>
        <w:t>2 (opštine moraju preispitati sve opštinske akte koje su nadzorni organi ocenili kao nezakonite u skladu sa zakonskim zahtevima)</w:t>
      </w:r>
      <w:r w:rsidR="006B07CC">
        <w:rPr>
          <w:rFonts w:cstheme="majorHAnsi"/>
        </w:rPr>
        <w:t xml:space="preserve"> i </w:t>
      </w:r>
      <w:r w:rsidRPr="00764FC3">
        <w:rPr>
          <w:rFonts w:cstheme="majorHAnsi"/>
        </w:rPr>
        <w:t xml:space="preserve">3 (Mišljenje revizije mora biti najmanje nemodifikovano sa isticanjem pitanja) </w:t>
      </w:r>
      <w:r w:rsidR="006B07CC">
        <w:rPr>
          <w:rFonts w:cstheme="majorHAnsi"/>
        </w:rPr>
        <w:t>nisu ispunjeni</w:t>
      </w:r>
      <w:r w:rsidRPr="00764FC3">
        <w:rPr>
          <w:rFonts w:cstheme="majorHAnsi"/>
        </w:rPr>
        <w:t>.</w:t>
      </w:r>
      <w:r w:rsidRPr="00764FC3">
        <w:rPr>
          <w:b/>
        </w:rPr>
        <w:tab/>
      </w:r>
    </w:p>
    <w:p w14:paraId="24714B16" w14:textId="77777777" w:rsidR="00B10745" w:rsidRPr="00764FC3" w:rsidRDefault="00B10745" w:rsidP="00B10745">
      <w:pPr>
        <w:rPr>
          <w:b/>
        </w:rPr>
      </w:pPr>
    </w:p>
    <w:p w14:paraId="295A3F4B" w14:textId="640FCFF9"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063AF1D9" w14:textId="76587479" w:rsidR="00B10745" w:rsidRPr="00764FC3" w:rsidRDefault="00B10745" w:rsidP="00B10745">
      <w:pPr>
        <w:jc w:val="both"/>
        <w:rPr>
          <w:rFonts w:cstheme="majorHAnsi"/>
        </w:rPr>
      </w:pPr>
      <w:r w:rsidRPr="00764FC3">
        <w:rPr>
          <w:rFonts w:cstheme="majorHAnsi"/>
        </w:rPr>
        <w:t>Prosečni učinak opštine Vučitrn u 2</w:t>
      </w:r>
      <w:r w:rsidR="006B07CC">
        <w:rPr>
          <w:rFonts w:cstheme="majorHAnsi"/>
        </w:rPr>
        <w:t>9</w:t>
      </w:r>
      <w:r w:rsidRPr="00764FC3">
        <w:rPr>
          <w:rFonts w:cstheme="majorHAnsi"/>
        </w:rPr>
        <w:t xml:space="preserve"> procenjenih pokazatelja je 6</w:t>
      </w:r>
      <w:r w:rsidR="006B07CC">
        <w:rPr>
          <w:rFonts w:cstheme="majorHAnsi"/>
        </w:rPr>
        <w:t>3</w:t>
      </w:r>
      <w:r w:rsidRPr="00764FC3">
        <w:rPr>
          <w:rFonts w:cstheme="majorHAnsi"/>
        </w:rPr>
        <w:t xml:space="preserve"> bod od ukupno 9</w:t>
      </w:r>
      <w:r w:rsidR="006B07CC">
        <w:rPr>
          <w:rFonts w:cstheme="majorHAnsi"/>
        </w:rPr>
        <w:t>8</w:t>
      </w:r>
      <w:r w:rsidRPr="00764FC3">
        <w:rPr>
          <w:rFonts w:cstheme="majorHAnsi"/>
        </w:rPr>
        <w:t xml:space="preserve"> mogućih bodova (</w:t>
      </w:r>
      <w:r w:rsidR="006B07CC">
        <w:rPr>
          <w:rFonts w:cstheme="majorHAnsi"/>
        </w:rPr>
        <w:t>64.29</w:t>
      </w:r>
      <w:r w:rsidRPr="00764FC3">
        <w:rPr>
          <w:rFonts w:cstheme="majorHAnsi"/>
        </w:rPr>
        <w:t>%).</w:t>
      </w:r>
      <w:r w:rsidRPr="00764FC3">
        <w:t xml:space="preserve"> </w:t>
      </w:r>
    </w:p>
    <w:p w14:paraId="1E5CBDE4" w14:textId="5E090FC7" w:rsidR="00B10745" w:rsidRPr="00764FC3" w:rsidRDefault="006B07CC" w:rsidP="00B10745">
      <w:pPr>
        <w:jc w:val="both"/>
        <w:rPr>
          <w:rFonts w:cstheme="majorHAnsi"/>
        </w:rPr>
      </w:pPr>
      <w:r>
        <w:rPr>
          <w:noProof/>
          <w:lang w:val="en-GB" w:eastAsia="en-GB"/>
          <w14:ligatures w14:val="standardContextual"/>
        </w:rPr>
        <w:drawing>
          <wp:anchor distT="0" distB="0" distL="114300" distR="114300" simplePos="0" relativeHeight="251881472" behindDoc="0" locked="0" layoutInCell="1" allowOverlap="1" wp14:anchorId="29BEF7AB" wp14:editId="1E26D0DD">
            <wp:simplePos x="0" y="0"/>
            <wp:positionH relativeFrom="column">
              <wp:posOffset>1962150</wp:posOffset>
            </wp:positionH>
            <wp:positionV relativeFrom="paragraph">
              <wp:posOffset>2540</wp:posOffset>
            </wp:positionV>
            <wp:extent cx="3840480" cy="2743200"/>
            <wp:effectExtent l="0" t="0" r="7620" b="0"/>
            <wp:wrapSquare wrapText="bothSides"/>
            <wp:docPr id="1081546588" name="Chart 10815465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anchor>
        </w:drawing>
      </w:r>
      <w:r w:rsidR="00B10745" w:rsidRPr="00764FC3">
        <w:rPr>
          <w:rFonts w:cstheme="majorHAnsi"/>
        </w:rPr>
        <w:t>Prosečni učinak u 1</w:t>
      </w:r>
      <w:r>
        <w:rPr>
          <w:rFonts w:cstheme="majorHAnsi"/>
        </w:rPr>
        <w:t>3</w:t>
      </w:r>
      <w:r w:rsidR="00B10745" w:rsidRPr="00764FC3">
        <w:rPr>
          <w:rFonts w:cstheme="majorHAnsi"/>
        </w:rPr>
        <w:t xml:space="preserve"> pokazatelja procenjenih u okviru oblasti ‘Demokratsko upravljanje’ iznosi </w:t>
      </w:r>
      <w:r>
        <w:rPr>
          <w:rFonts w:cstheme="majorHAnsi"/>
        </w:rPr>
        <w:t>34</w:t>
      </w:r>
      <w:r w:rsidR="00B10745" w:rsidRPr="00764FC3">
        <w:rPr>
          <w:rFonts w:cstheme="majorHAnsi"/>
        </w:rPr>
        <w:t xml:space="preserve"> bodova od ukupno </w:t>
      </w:r>
      <w:r>
        <w:rPr>
          <w:rFonts w:cstheme="majorHAnsi"/>
        </w:rPr>
        <w:t>40</w:t>
      </w:r>
      <w:r w:rsidR="00B10745" w:rsidRPr="00764FC3">
        <w:rPr>
          <w:rFonts w:cstheme="majorHAnsi"/>
        </w:rPr>
        <w:t xml:space="preserve"> mogućih bodova (</w:t>
      </w:r>
      <w:r>
        <w:rPr>
          <w:rFonts w:cstheme="majorHAnsi"/>
        </w:rPr>
        <w:t>85.00</w:t>
      </w:r>
      <w:r w:rsidR="00B10745" w:rsidRPr="00764FC3">
        <w:rPr>
          <w:rFonts w:cstheme="majorHAnsi"/>
        </w:rPr>
        <w:t>%).</w:t>
      </w:r>
    </w:p>
    <w:p w14:paraId="66EDA62C" w14:textId="4017FA00" w:rsidR="00B10745" w:rsidRPr="00764FC3" w:rsidRDefault="00B10745" w:rsidP="00B10745">
      <w:pPr>
        <w:jc w:val="both"/>
        <w:rPr>
          <w:rFonts w:cstheme="majorHAnsi"/>
        </w:rPr>
      </w:pPr>
      <w:r w:rsidRPr="00764FC3">
        <w:rPr>
          <w:rFonts w:cstheme="majorHAnsi"/>
        </w:rPr>
        <w:t>Prosečni učinak u 7 pokazatelja procenjenih u okviru oblasti ‘Opštinsko upravljanje’ je 1</w:t>
      </w:r>
      <w:r w:rsidR="006B07CC">
        <w:rPr>
          <w:rFonts w:cstheme="majorHAnsi"/>
        </w:rPr>
        <w:t>0</w:t>
      </w:r>
      <w:r w:rsidRPr="00764FC3">
        <w:rPr>
          <w:rFonts w:cstheme="majorHAnsi"/>
        </w:rPr>
        <w:t xml:space="preserve"> bodova od ukupno 2</w:t>
      </w:r>
      <w:r w:rsidR="006B07CC">
        <w:rPr>
          <w:rFonts w:cstheme="majorHAnsi"/>
        </w:rPr>
        <w:t>8</w:t>
      </w:r>
      <w:r w:rsidRPr="00764FC3">
        <w:rPr>
          <w:rFonts w:cstheme="majorHAnsi"/>
        </w:rPr>
        <w:t xml:space="preserve"> mogućih bodova (</w:t>
      </w:r>
      <w:r w:rsidR="006B07CC">
        <w:rPr>
          <w:rFonts w:cstheme="majorHAnsi"/>
        </w:rPr>
        <w:t>35.71</w:t>
      </w:r>
      <w:r w:rsidRPr="00764FC3">
        <w:rPr>
          <w:rFonts w:cstheme="majorHAnsi"/>
        </w:rPr>
        <w:t>%).</w:t>
      </w:r>
    </w:p>
    <w:p w14:paraId="460CD7BA" w14:textId="31E5226D" w:rsidR="00B10745" w:rsidRPr="00764FC3" w:rsidRDefault="00B10745" w:rsidP="00B10745">
      <w:pPr>
        <w:jc w:val="both"/>
        <w:rPr>
          <w:rFonts w:cstheme="majorHAnsi"/>
        </w:rPr>
      </w:pPr>
      <w:r w:rsidRPr="00764FC3">
        <w:rPr>
          <w:rFonts w:cstheme="majorHAnsi"/>
        </w:rPr>
        <w:t xml:space="preserve">Prosečni učinak u </w:t>
      </w:r>
      <w:r w:rsidR="006B07CC">
        <w:rPr>
          <w:rFonts w:cstheme="majorHAnsi"/>
        </w:rPr>
        <w:t>9</w:t>
      </w:r>
      <w:r w:rsidRPr="00764FC3">
        <w:rPr>
          <w:rFonts w:cstheme="majorHAnsi"/>
        </w:rPr>
        <w:t xml:space="preserve"> pokazatelja procenjenih u okviru oblasti ‘Pružanje usluga’ je </w:t>
      </w:r>
      <w:r w:rsidR="006B07CC">
        <w:rPr>
          <w:rFonts w:cstheme="majorHAnsi"/>
        </w:rPr>
        <w:t>19</w:t>
      </w:r>
      <w:r w:rsidRPr="00764FC3">
        <w:rPr>
          <w:rFonts w:cstheme="majorHAnsi"/>
        </w:rPr>
        <w:t xml:space="preserve"> bodova od ukupno </w:t>
      </w:r>
      <w:r w:rsidR="006B07CC">
        <w:rPr>
          <w:rFonts w:cstheme="majorHAnsi"/>
        </w:rPr>
        <w:t>30</w:t>
      </w:r>
      <w:r w:rsidRPr="00764FC3">
        <w:rPr>
          <w:rFonts w:cstheme="majorHAnsi"/>
        </w:rPr>
        <w:t xml:space="preserve"> mogućih bodova (</w:t>
      </w:r>
      <w:r w:rsidR="006B07CC">
        <w:rPr>
          <w:rFonts w:cstheme="majorHAnsi"/>
        </w:rPr>
        <w:t>63.33</w:t>
      </w:r>
      <w:r w:rsidRPr="00764FC3">
        <w:rPr>
          <w:rFonts w:cstheme="majorHAnsi"/>
        </w:rPr>
        <w:t>%).</w:t>
      </w:r>
    </w:p>
    <w:p w14:paraId="75BCCA11" w14:textId="77777777" w:rsidR="00B10745" w:rsidRPr="00764FC3" w:rsidRDefault="00B10745" w:rsidP="00B10745"/>
    <w:p w14:paraId="66A0E3A9" w14:textId="77777777" w:rsidR="00B10745" w:rsidRPr="00764FC3" w:rsidRDefault="00B10745" w:rsidP="00B10745">
      <w:pPr>
        <w:jc w:val="both"/>
        <w:sectPr w:rsidR="00B10745" w:rsidRPr="00764FC3" w:rsidSect="0069543C">
          <w:pgSz w:w="11906" w:h="16838"/>
          <w:pgMar w:top="1440" w:right="1440" w:bottom="1440" w:left="1440" w:header="708" w:footer="708" w:gutter="0"/>
          <w:cols w:space="708"/>
          <w:docGrid w:linePitch="360"/>
        </w:sectPr>
      </w:pPr>
    </w:p>
    <w:p w14:paraId="60372DAB" w14:textId="680FA015" w:rsidR="00B10745" w:rsidRPr="00764FC3" w:rsidRDefault="00B10745" w:rsidP="00B10745">
      <w:pPr>
        <w:jc w:val="both"/>
        <w:rPr>
          <w:b/>
          <w:bCs/>
        </w:rPr>
      </w:pPr>
      <w:bookmarkStart w:id="54" w:name="_Toc99363480"/>
      <w:r w:rsidRPr="00764FC3">
        <w:rPr>
          <w:b/>
          <w:bCs/>
        </w:rPr>
        <w:lastRenderedPageBreak/>
        <w:t xml:space="preserve">Rezime rezultata za </w:t>
      </w:r>
      <w:r w:rsidR="00F41E1B">
        <w:rPr>
          <w:b/>
          <w:bCs/>
        </w:rPr>
        <w:t>2024</w:t>
      </w:r>
      <w:r w:rsidRPr="00764FC3">
        <w:rPr>
          <w:b/>
          <w:bCs/>
        </w:rPr>
        <w:t>. godinu za grant opštinskog učinka - Opština Zubin Potok</w:t>
      </w:r>
      <w:bookmarkEnd w:id="54"/>
    </w:p>
    <w:p w14:paraId="3FDFDE80" w14:textId="1253F522" w:rsidR="00B10745" w:rsidRPr="00764FC3" w:rsidRDefault="00B10745" w:rsidP="00B10745">
      <w:pPr>
        <w:rPr>
          <w:rFonts w:eastAsiaTheme="majorEastAsia" w:cstheme="majorBidi"/>
          <w:b/>
        </w:rPr>
      </w:pPr>
      <w:r w:rsidRPr="00764FC3">
        <w:rPr>
          <w:rFonts w:eastAsiaTheme="majorEastAsia" w:cstheme="majorBidi"/>
          <w:b/>
        </w:rPr>
        <w:t xml:space="preserve">Procena minimalnih uslova za </w:t>
      </w:r>
      <w:r w:rsidR="00F41E1B">
        <w:rPr>
          <w:rFonts w:eastAsiaTheme="majorEastAsia" w:cstheme="majorBidi"/>
          <w:b/>
        </w:rPr>
        <w:t>2024</w:t>
      </w:r>
      <w:r w:rsidRPr="00764FC3">
        <w:rPr>
          <w:rFonts w:eastAsiaTheme="majorEastAsia" w:cstheme="majorBidi"/>
          <w:b/>
        </w:rPr>
        <w:t>. godinu</w:t>
      </w:r>
    </w:p>
    <w:p w14:paraId="0A67A520" w14:textId="75C9C2B9" w:rsidR="00B10745" w:rsidRPr="00764FC3" w:rsidRDefault="006B07CC" w:rsidP="00B10745">
      <w:pPr>
        <w:jc w:val="both"/>
        <w:rPr>
          <w:rFonts w:cstheme="majorHAnsi"/>
        </w:rPr>
      </w:pPr>
      <w:r>
        <w:rPr>
          <w:noProof/>
          <w:lang w:val="en-GB" w:eastAsia="en-GB"/>
          <w14:ligatures w14:val="standardContextual"/>
        </w:rPr>
        <w:drawing>
          <wp:anchor distT="0" distB="0" distL="114300" distR="114300" simplePos="0" relativeHeight="251882496" behindDoc="0" locked="0" layoutInCell="1" allowOverlap="1" wp14:anchorId="23518AAC" wp14:editId="4E651075">
            <wp:simplePos x="0" y="0"/>
            <wp:positionH relativeFrom="column">
              <wp:posOffset>2038350</wp:posOffset>
            </wp:positionH>
            <wp:positionV relativeFrom="paragraph">
              <wp:posOffset>66675</wp:posOffset>
            </wp:positionV>
            <wp:extent cx="3840480" cy="2257200"/>
            <wp:effectExtent l="0" t="0" r="7620" b="10160"/>
            <wp:wrapSquare wrapText="bothSides"/>
            <wp:docPr id="1081546589" name="Chart 108154658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14:sizeRelV relativeFrom="margin">
              <wp14:pctHeight>0</wp14:pctHeight>
            </wp14:sizeRelV>
          </wp:anchor>
        </w:drawing>
      </w:r>
      <w:r w:rsidR="00B10745" w:rsidRPr="00764FC3">
        <w:rPr>
          <w:rFonts w:cstheme="majorHAnsi"/>
        </w:rPr>
        <w:t xml:space="preserve">Opština Zubin Potok se nije kvalifikovala </w:t>
      </w:r>
      <w:r w:rsidR="00F06A99" w:rsidRPr="00764FC3">
        <w:rPr>
          <w:rFonts w:cstheme="majorHAnsi"/>
        </w:rPr>
        <w:t>za grant za opštinski učinak za 202</w:t>
      </w:r>
      <w:r>
        <w:rPr>
          <w:rFonts w:cstheme="majorHAnsi"/>
        </w:rPr>
        <w:t>6</w:t>
      </w:r>
      <w:r w:rsidR="00F06A99" w:rsidRPr="00764FC3">
        <w:rPr>
          <w:rFonts w:cstheme="majorHAnsi"/>
        </w:rPr>
        <w:t xml:space="preserve">. godinu, na osnovu učinka za </w:t>
      </w:r>
      <w:r w:rsidR="00F41E1B">
        <w:rPr>
          <w:rFonts w:cstheme="majorHAnsi"/>
        </w:rPr>
        <w:t>2024</w:t>
      </w:r>
      <w:r w:rsidR="00F06A99" w:rsidRPr="00764FC3">
        <w:rPr>
          <w:rFonts w:cstheme="majorHAnsi"/>
        </w:rPr>
        <w:t>. godinu.</w:t>
      </w:r>
      <w:r w:rsidR="00B926C0" w:rsidRPr="00764FC3">
        <w:rPr>
          <w:rFonts w:cstheme="majorHAnsi"/>
        </w:rPr>
        <w:t xml:space="preserve"> </w:t>
      </w:r>
    </w:p>
    <w:p w14:paraId="5706C9A1" w14:textId="5266B4A2" w:rsidR="00B10745" w:rsidRPr="006B07CC" w:rsidRDefault="00B10745" w:rsidP="006B07CC">
      <w:pPr>
        <w:jc w:val="both"/>
        <w:rPr>
          <w:rFonts w:cstheme="majorHAnsi"/>
        </w:rPr>
      </w:pPr>
      <w:r w:rsidRPr="00764FC3">
        <w:rPr>
          <w:rFonts w:cstheme="majorHAnsi"/>
        </w:rPr>
        <w:t xml:space="preserve">Minimalni uslovi broj 1 (opštine moraju prijaviti podatke SUOU prema utvrđenom roku); 3 (revizorsko mišljenje treba da bude najmanje nemodifikovano sa naglaskom na to pitanje) i broj 4 (stopa trošenja  budžeta za kapitalne investicije za </w:t>
      </w:r>
      <w:r w:rsidR="00F41E1B">
        <w:rPr>
          <w:rFonts w:cstheme="majorHAnsi"/>
        </w:rPr>
        <w:t>2024</w:t>
      </w:r>
      <w:r w:rsidRPr="00764FC3">
        <w:rPr>
          <w:rFonts w:cstheme="majorHAnsi"/>
        </w:rPr>
        <w:t>. godinu treba da bude najmanje 75%) nisu ispunjeni.</w:t>
      </w:r>
    </w:p>
    <w:p w14:paraId="45372A57" w14:textId="77777777" w:rsidR="00B10745" w:rsidRPr="00764FC3" w:rsidRDefault="00B10745" w:rsidP="00B10745"/>
    <w:p w14:paraId="70601A0E" w14:textId="4968DF78"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31D46BBF" w14:textId="22443916" w:rsidR="00B10745" w:rsidRPr="00764FC3" w:rsidRDefault="00B10745" w:rsidP="00B10745">
      <w:pPr>
        <w:rPr>
          <w:rFonts w:cstheme="majorHAnsi"/>
        </w:rPr>
      </w:pPr>
      <w:r w:rsidRPr="00764FC3">
        <w:rPr>
          <w:rFonts w:cstheme="majorHAnsi"/>
        </w:rPr>
        <w:t>Prosečni učinak opštine Zubin Potok u 2</w:t>
      </w:r>
      <w:r w:rsidR="006B07CC">
        <w:rPr>
          <w:rFonts w:cstheme="majorHAnsi"/>
        </w:rPr>
        <w:t>9</w:t>
      </w:r>
      <w:r w:rsidRPr="00764FC3">
        <w:rPr>
          <w:rFonts w:cstheme="majorHAnsi"/>
        </w:rPr>
        <w:t xml:space="preserve"> procenjenih pokazatelja je 0 bodova od ukupno 9</w:t>
      </w:r>
      <w:r w:rsidR="006B07CC">
        <w:rPr>
          <w:rFonts w:cstheme="majorHAnsi"/>
        </w:rPr>
        <w:t>8</w:t>
      </w:r>
      <w:r w:rsidRPr="00764FC3">
        <w:rPr>
          <w:rFonts w:cstheme="majorHAnsi"/>
        </w:rPr>
        <w:t xml:space="preserve"> mogućih bodova (0%).</w:t>
      </w:r>
      <w:r w:rsidRPr="00764FC3">
        <w:t xml:space="preserve"> </w:t>
      </w:r>
    </w:p>
    <w:p w14:paraId="3D363E27" w14:textId="44E58705" w:rsidR="00B10745" w:rsidRPr="00764FC3" w:rsidRDefault="00B10745" w:rsidP="00B10745">
      <w:pPr>
        <w:jc w:val="both"/>
        <w:rPr>
          <w:rFonts w:cstheme="majorHAnsi"/>
        </w:rPr>
      </w:pPr>
      <w:r w:rsidRPr="00764FC3">
        <w:rPr>
          <w:rFonts w:cstheme="majorHAnsi"/>
        </w:rPr>
        <w:t>Prosečni učinak u 1</w:t>
      </w:r>
      <w:r w:rsidR="006B07CC">
        <w:rPr>
          <w:rFonts w:cstheme="majorHAnsi"/>
        </w:rPr>
        <w:t>3</w:t>
      </w:r>
      <w:r w:rsidRPr="00764FC3">
        <w:rPr>
          <w:rFonts w:cstheme="majorHAnsi"/>
        </w:rPr>
        <w:t xml:space="preserve"> pokazatelja procenjenih u okviru oblasti ‘Demokratsko upravljanje’ je 0 bodova od ukupno </w:t>
      </w:r>
      <w:r w:rsidR="006B07CC">
        <w:rPr>
          <w:rFonts w:cstheme="majorHAnsi"/>
        </w:rPr>
        <w:t>40</w:t>
      </w:r>
      <w:r w:rsidRPr="00764FC3">
        <w:rPr>
          <w:rFonts w:cstheme="majorHAnsi"/>
        </w:rPr>
        <w:t xml:space="preserve"> mogućih bodova (0%).</w:t>
      </w:r>
    </w:p>
    <w:p w14:paraId="64FB27BF" w14:textId="193BD3AB" w:rsidR="00B10745" w:rsidRPr="00764FC3" w:rsidRDefault="00B10745" w:rsidP="00B10745">
      <w:pPr>
        <w:jc w:val="both"/>
        <w:rPr>
          <w:rFonts w:cstheme="majorHAnsi"/>
        </w:rPr>
      </w:pPr>
      <w:r w:rsidRPr="00764FC3">
        <w:rPr>
          <w:rFonts w:cstheme="majorHAnsi"/>
        </w:rPr>
        <w:t xml:space="preserve">Prosečni učinak u </w:t>
      </w:r>
      <w:r w:rsidR="006B07CC">
        <w:rPr>
          <w:rFonts w:cstheme="majorHAnsi"/>
        </w:rPr>
        <w:t>7</w:t>
      </w:r>
      <w:r w:rsidRPr="00764FC3">
        <w:rPr>
          <w:rFonts w:cstheme="majorHAnsi"/>
        </w:rPr>
        <w:t xml:space="preserve"> pokazatelja procenjenih u okviru oblasti ‘Opštinsko upravljanje’ je 0 bodova od ukupno </w:t>
      </w:r>
      <w:r w:rsidR="006B07CC">
        <w:rPr>
          <w:rFonts w:cstheme="majorHAnsi"/>
        </w:rPr>
        <w:t xml:space="preserve">28 </w:t>
      </w:r>
      <w:r w:rsidRPr="00764FC3">
        <w:rPr>
          <w:rFonts w:cstheme="majorHAnsi"/>
        </w:rPr>
        <w:t>mogućih bodova (0%).</w:t>
      </w:r>
    </w:p>
    <w:p w14:paraId="1230B277" w14:textId="33D8A4EC" w:rsidR="00B10745" w:rsidRPr="00764FC3" w:rsidRDefault="00B10745" w:rsidP="00B10745">
      <w:pPr>
        <w:jc w:val="both"/>
        <w:rPr>
          <w:rFonts w:cstheme="majorHAnsi"/>
        </w:rPr>
      </w:pPr>
      <w:r w:rsidRPr="00764FC3">
        <w:rPr>
          <w:rFonts w:cstheme="majorHAnsi"/>
        </w:rPr>
        <w:t xml:space="preserve">Prosečni učinak u </w:t>
      </w:r>
      <w:r w:rsidR="006B07CC">
        <w:rPr>
          <w:rFonts w:cstheme="majorHAnsi"/>
        </w:rPr>
        <w:t>9</w:t>
      </w:r>
      <w:r w:rsidRPr="00764FC3">
        <w:rPr>
          <w:rFonts w:cstheme="majorHAnsi"/>
        </w:rPr>
        <w:t xml:space="preserve"> pokazatelja procenjenih u okviru oblasti ‘Pružanje usluga’ je 0 bodova od ukupno </w:t>
      </w:r>
      <w:r w:rsidR="006B07CC">
        <w:rPr>
          <w:rFonts w:cstheme="majorHAnsi"/>
        </w:rPr>
        <w:t>30</w:t>
      </w:r>
      <w:r w:rsidRPr="00764FC3">
        <w:rPr>
          <w:rFonts w:cstheme="majorHAnsi"/>
        </w:rPr>
        <w:t xml:space="preserve"> mogućih bodova (0%).</w:t>
      </w:r>
    </w:p>
    <w:p w14:paraId="37DF4756" w14:textId="77777777" w:rsidR="00B10745" w:rsidRPr="00764FC3" w:rsidRDefault="00B10745" w:rsidP="00B10745">
      <w:pPr>
        <w:sectPr w:rsidR="00B10745" w:rsidRPr="00764FC3" w:rsidSect="0069543C">
          <w:pgSz w:w="11906" w:h="16838"/>
          <w:pgMar w:top="1440" w:right="1440" w:bottom="1440" w:left="1440" w:header="708" w:footer="708" w:gutter="0"/>
          <w:cols w:space="708"/>
          <w:docGrid w:linePitch="360"/>
        </w:sectPr>
      </w:pPr>
    </w:p>
    <w:p w14:paraId="7096A8D0" w14:textId="27340A1C" w:rsidR="00B10745" w:rsidRPr="00764FC3" w:rsidRDefault="00B10745" w:rsidP="00B10745">
      <w:pPr>
        <w:jc w:val="both"/>
        <w:rPr>
          <w:b/>
          <w:bCs/>
        </w:rPr>
      </w:pPr>
      <w:bookmarkStart w:id="55" w:name="_Toc99363481"/>
      <w:r w:rsidRPr="00764FC3">
        <w:rPr>
          <w:b/>
          <w:bCs/>
        </w:rPr>
        <w:lastRenderedPageBreak/>
        <w:t xml:space="preserve">Rezime rezultata za </w:t>
      </w:r>
      <w:r w:rsidR="00F41E1B">
        <w:rPr>
          <w:b/>
          <w:bCs/>
        </w:rPr>
        <w:t>2024</w:t>
      </w:r>
      <w:r w:rsidRPr="00764FC3">
        <w:rPr>
          <w:b/>
          <w:bCs/>
        </w:rPr>
        <w:t>. godinu za grant opštinskog učinka - opština Zvečan</w:t>
      </w:r>
      <w:bookmarkEnd w:id="55"/>
    </w:p>
    <w:p w14:paraId="5ED71F75" w14:textId="51AD6E54" w:rsidR="00B10745" w:rsidRPr="00764FC3" w:rsidRDefault="006B07CC" w:rsidP="00B10745">
      <w:pPr>
        <w:rPr>
          <w:b/>
        </w:rPr>
      </w:pPr>
      <w:r>
        <w:rPr>
          <w:noProof/>
          <w:lang w:val="en-GB" w:eastAsia="en-GB"/>
          <w14:ligatures w14:val="standardContextual"/>
        </w:rPr>
        <w:drawing>
          <wp:anchor distT="0" distB="0" distL="114300" distR="114300" simplePos="0" relativeHeight="251883520" behindDoc="0" locked="0" layoutInCell="1" allowOverlap="1" wp14:anchorId="35D73A0E" wp14:editId="16352ED3">
            <wp:simplePos x="0" y="0"/>
            <wp:positionH relativeFrom="column">
              <wp:posOffset>2171700</wp:posOffset>
            </wp:positionH>
            <wp:positionV relativeFrom="paragraph">
              <wp:posOffset>285750</wp:posOffset>
            </wp:positionV>
            <wp:extent cx="3840480" cy="2743200"/>
            <wp:effectExtent l="0" t="0" r="7620" b="0"/>
            <wp:wrapSquare wrapText="bothSides"/>
            <wp:docPr id="1081546590" name="Chart 108154659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2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anchor>
        </w:drawing>
      </w:r>
      <w:r w:rsidR="00B10745" w:rsidRPr="00764FC3">
        <w:rPr>
          <w:b/>
        </w:rPr>
        <w:t xml:space="preserve">Procena minimalnih uslova za </w:t>
      </w:r>
      <w:r w:rsidR="00F41E1B">
        <w:rPr>
          <w:b/>
        </w:rPr>
        <w:t>2024</w:t>
      </w:r>
      <w:r w:rsidR="00B10745" w:rsidRPr="00764FC3">
        <w:rPr>
          <w:b/>
        </w:rPr>
        <w:t>. godinu</w:t>
      </w:r>
    </w:p>
    <w:p w14:paraId="7DDEBAEB" w14:textId="425BAA9F" w:rsidR="00B10745" w:rsidRPr="00764FC3" w:rsidRDefault="00B10745" w:rsidP="00B10745">
      <w:pPr>
        <w:jc w:val="both"/>
        <w:rPr>
          <w:rFonts w:cstheme="majorHAnsi"/>
        </w:rPr>
      </w:pPr>
      <w:r w:rsidRPr="00764FC3">
        <w:rPr>
          <w:rFonts w:cstheme="majorHAnsi"/>
        </w:rPr>
        <w:t xml:space="preserve">Opština Zvečan nije se kvalifikovala </w:t>
      </w:r>
      <w:r w:rsidR="00A753F0" w:rsidRPr="00764FC3">
        <w:rPr>
          <w:rFonts w:cstheme="majorHAnsi"/>
        </w:rPr>
        <w:t>za grant za opštinski učinak za 202</w:t>
      </w:r>
      <w:r w:rsidR="006B07CC">
        <w:rPr>
          <w:rFonts w:cstheme="majorHAnsi"/>
        </w:rPr>
        <w:t>6</w:t>
      </w:r>
      <w:r w:rsidR="00A753F0" w:rsidRPr="00764FC3">
        <w:rPr>
          <w:rFonts w:cstheme="majorHAnsi"/>
        </w:rPr>
        <w:t xml:space="preserve">. godinu, na osnovu učinka za </w:t>
      </w:r>
      <w:r w:rsidR="00F41E1B">
        <w:rPr>
          <w:rFonts w:cstheme="majorHAnsi"/>
        </w:rPr>
        <w:t>2024</w:t>
      </w:r>
      <w:r w:rsidR="00A753F0" w:rsidRPr="00764FC3">
        <w:rPr>
          <w:rFonts w:cstheme="majorHAnsi"/>
        </w:rPr>
        <w:t>. godinu.</w:t>
      </w:r>
    </w:p>
    <w:p w14:paraId="2D9577A1" w14:textId="038D14B8" w:rsidR="00B10745" w:rsidRPr="00764FC3" w:rsidRDefault="00B10745" w:rsidP="00875586">
      <w:pPr>
        <w:jc w:val="both"/>
      </w:pPr>
      <w:r w:rsidRPr="00764FC3">
        <w:rPr>
          <w:rFonts w:cstheme="majorHAnsi"/>
        </w:rPr>
        <w:t>Minimalni uslovi broj 1 (opštine moraju prijaviti podatke SUOU prema utvrđenom roku); 3 (revizorsko mišljenje treba da bude najmanje nemodifikovano sa naglaskom na to pitanje) nisu ispunjeni.</w:t>
      </w:r>
    </w:p>
    <w:p w14:paraId="601ED198" w14:textId="77777777" w:rsidR="00B10745" w:rsidRPr="00764FC3" w:rsidRDefault="00B10745" w:rsidP="00B10745"/>
    <w:p w14:paraId="195B8CF0" w14:textId="3657E25A" w:rsidR="00B10745" w:rsidRPr="00764FC3" w:rsidRDefault="00B10745" w:rsidP="00B10745">
      <w:pPr>
        <w:rPr>
          <w:b/>
        </w:rPr>
      </w:pPr>
      <w:r w:rsidRPr="00764FC3">
        <w:rPr>
          <w:b/>
        </w:rPr>
        <w:t xml:space="preserve">Procena pokazatelja učinka za </w:t>
      </w:r>
      <w:r w:rsidR="00F41E1B">
        <w:rPr>
          <w:b/>
        </w:rPr>
        <w:t>2024</w:t>
      </w:r>
      <w:r w:rsidRPr="00764FC3">
        <w:rPr>
          <w:b/>
        </w:rPr>
        <w:t>. godinu</w:t>
      </w:r>
    </w:p>
    <w:p w14:paraId="683A890F" w14:textId="1B9FA1DE" w:rsidR="00B10745" w:rsidRPr="00764FC3" w:rsidRDefault="00B10745" w:rsidP="00B10745">
      <w:pPr>
        <w:rPr>
          <w:rFonts w:cstheme="majorHAnsi"/>
        </w:rPr>
      </w:pPr>
      <w:r w:rsidRPr="00764FC3">
        <w:rPr>
          <w:rFonts w:cstheme="majorHAnsi"/>
        </w:rPr>
        <w:t>Prosečni učinak opštine Zvečan u 2</w:t>
      </w:r>
      <w:r w:rsidR="006B07CC">
        <w:rPr>
          <w:rFonts w:cstheme="majorHAnsi"/>
        </w:rPr>
        <w:t>9</w:t>
      </w:r>
      <w:r w:rsidRPr="00764FC3">
        <w:rPr>
          <w:rFonts w:cstheme="majorHAnsi"/>
        </w:rPr>
        <w:t xml:space="preserve"> procenjenih pokazatelja je 0 bodova od ukupno 9</w:t>
      </w:r>
      <w:r w:rsidR="006B07CC">
        <w:rPr>
          <w:rFonts w:cstheme="majorHAnsi"/>
        </w:rPr>
        <w:t>8</w:t>
      </w:r>
      <w:r w:rsidRPr="00764FC3">
        <w:rPr>
          <w:rFonts w:cstheme="majorHAnsi"/>
        </w:rPr>
        <w:t xml:space="preserve"> mogućih bodova (0%).</w:t>
      </w:r>
      <w:r w:rsidRPr="00764FC3">
        <w:t xml:space="preserve"> </w:t>
      </w:r>
    </w:p>
    <w:p w14:paraId="1AB5C60B" w14:textId="77777777" w:rsidR="006B07CC" w:rsidRPr="00764FC3" w:rsidRDefault="006B07CC" w:rsidP="006B07CC">
      <w:pPr>
        <w:jc w:val="both"/>
        <w:rPr>
          <w:rFonts w:cstheme="majorHAnsi"/>
        </w:rPr>
      </w:pPr>
      <w:r w:rsidRPr="00764FC3">
        <w:rPr>
          <w:rFonts w:cstheme="majorHAnsi"/>
        </w:rPr>
        <w:t>Prosečni učinak u 1</w:t>
      </w:r>
      <w:r>
        <w:rPr>
          <w:rFonts w:cstheme="majorHAnsi"/>
        </w:rPr>
        <w:t>3</w:t>
      </w:r>
      <w:r w:rsidRPr="00764FC3">
        <w:rPr>
          <w:rFonts w:cstheme="majorHAnsi"/>
        </w:rPr>
        <w:t xml:space="preserve"> pokazatelja procenjenih u okviru oblasti ‘Demokratsko upravljanje’ je 0 bodova od ukupno </w:t>
      </w:r>
      <w:r>
        <w:rPr>
          <w:rFonts w:cstheme="majorHAnsi"/>
        </w:rPr>
        <w:t>40</w:t>
      </w:r>
      <w:r w:rsidRPr="00764FC3">
        <w:rPr>
          <w:rFonts w:cstheme="majorHAnsi"/>
        </w:rPr>
        <w:t xml:space="preserve"> mogućih bodova (0%).</w:t>
      </w:r>
    </w:p>
    <w:p w14:paraId="4A7B46CC" w14:textId="77777777" w:rsidR="006B07CC" w:rsidRPr="00764FC3" w:rsidRDefault="006B07CC" w:rsidP="006B07CC">
      <w:pPr>
        <w:jc w:val="both"/>
        <w:rPr>
          <w:rFonts w:cstheme="majorHAnsi"/>
        </w:rPr>
      </w:pPr>
      <w:r w:rsidRPr="00764FC3">
        <w:rPr>
          <w:rFonts w:cstheme="majorHAnsi"/>
        </w:rPr>
        <w:t xml:space="preserve">Prosečni učinak u </w:t>
      </w:r>
      <w:r>
        <w:rPr>
          <w:rFonts w:cstheme="majorHAnsi"/>
        </w:rPr>
        <w:t>7</w:t>
      </w:r>
      <w:r w:rsidRPr="00764FC3">
        <w:rPr>
          <w:rFonts w:cstheme="majorHAnsi"/>
        </w:rPr>
        <w:t xml:space="preserve"> pokazatelja procenjenih u okviru oblasti ‘Opštinsko upravljanje’ je 0 bodova od ukupno </w:t>
      </w:r>
      <w:r>
        <w:rPr>
          <w:rFonts w:cstheme="majorHAnsi"/>
        </w:rPr>
        <w:t xml:space="preserve">28 </w:t>
      </w:r>
      <w:r w:rsidRPr="00764FC3">
        <w:rPr>
          <w:rFonts w:cstheme="majorHAnsi"/>
        </w:rPr>
        <w:t>mogućih bodova (0%).</w:t>
      </w:r>
    </w:p>
    <w:p w14:paraId="7657DFCA" w14:textId="77777777" w:rsidR="006B07CC" w:rsidRPr="00764FC3" w:rsidRDefault="006B07CC" w:rsidP="006B07CC">
      <w:pPr>
        <w:jc w:val="both"/>
        <w:rPr>
          <w:rFonts w:cstheme="majorHAnsi"/>
        </w:rPr>
      </w:pPr>
      <w:r w:rsidRPr="00764FC3">
        <w:rPr>
          <w:rFonts w:cstheme="majorHAnsi"/>
        </w:rPr>
        <w:t xml:space="preserve">Prosečni učinak u </w:t>
      </w:r>
      <w:r>
        <w:rPr>
          <w:rFonts w:cstheme="majorHAnsi"/>
        </w:rPr>
        <w:t>9</w:t>
      </w:r>
      <w:r w:rsidRPr="00764FC3">
        <w:rPr>
          <w:rFonts w:cstheme="majorHAnsi"/>
        </w:rPr>
        <w:t xml:space="preserve"> pokazatelja procenjenih u okviru oblasti ‘Pružanje usluga’ je 0 bodova od ukupno </w:t>
      </w:r>
      <w:r>
        <w:rPr>
          <w:rFonts w:cstheme="majorHAnsi"/>
        </w:rPr>
        <w:t>30</w:t>
      </w:r>
      <w:r w:rsidRPr="00764FC3">
        <w:rPr>
          <w:rFonts w:cstheme="majorHAnsi"/>
        </w:rPr>
        <w:t xml:space="preserve"> mogućih bodova (0%).</w:t>
      </w:r>
    </w:p>
    <w:p w14:paraId="66E2DDEC" w14:textId="5B2559BC" w:rsidR="006B07CC" w:rsidRDefault="006B07CC" w:rsidP="00875586">
      <w:pPr>
        <w:jc w:val="both"/>
        <w:rPr>
          <w:rFonts w:cstheme="majorHAnsi"/>
        </w:rPr>
      </w:pPr>
    </w:p>
    <w:p w14:paraId="42F057D7" w14:textId="1CCD925D" w:rsidR="006B07CC" w:rsidRDefault="006B07CC" w:rsidP="00875586">
      <w:pPr>
        <w:jc w:val="both"/>
        <w:rPr>
          <w:rFonts w:cstheme="majorHAnsi"/>
        </w:rPr>
      </w:pPr>
    </w:p>
    <w:p w14:paraId="1574C70A" w14:textId="4995BBA9" w:rsidR="006B07CC" w:rsidRDefault="006B07CC" w:rsidP="00875586">
      <w:pPr>
        <w:jc w:val="both"/>
        <w:rPr>
          <w:rFonts w:cstheme="majorHAnsi"/>
        </w:rPr>
      </w:pPr>
    </w:p>
    <w:p w14:paraId="104D1E56" w14:textId="578A6E86" w:rsidR="006B07CC" w:rsidRDefault="006B07CC" w:rsidP="00875586">
      <w:pPr>
        <w:jc w:val="both"/>
        <w:rPr>
          <w:rFonts w:cstheme="majorHAnsi"/>
        </w:rPr>
      </w:pPr>
    </w:p>
    <w:p w14:paraId="74BEEDE2" w14:textId="7254A369" w:rsidR="006B07CC" w:rsidRDefault="006B07CC" w:rsidP="00875586">
      <w:pPr>
        <w:jc w:val="both"/>
        <w:rPr>
          <w:rFonts w:cstheme="majorHAnsi"/>
        </w:rPr>
      </w:pPr>
    </w:p>
    <w:p w14:paraId="340DF54C" w14:textId="1D0A962D" w:rsidR="006B07CC" w:rsidRDefault="006B07CC" w:rsidP="00875586">
      <w:pPr>
        <w:jc w:val="both"/>
        <w:rPr>
          <w:rFonts w:cstheme="majorHAnsi"/>
        </w:rPr>
      </w:pPr>
    </w:p>
    <w:p w14:paraId="535E2815" w14:textId="5E349AA6" w:rsidR="00554C8D" w:rsidRDefault="00554C8D" w:rsidP="00875586">
      <w:pPr>
        <w:jc w:val="both"/>
        <w:rPr>
          <w:rFonts w:cstheme="majorHAnsi"/>
        </w:rPr>
      </w:pPr>
    </w:p>
    <w:p w14:paraId="231DB729" w14:textId="77777777" w:rsidR="00554C8D" w:rsidRDefault="00554C8D" w:rsidP="00875586">
      <w:pPr>
        <w:jc w:val="both"/>
        <w:rPr>
          <w:rFonts w:cstheme="majorHAnsi"/>
        </w:rPr>
      </w:pPr>
    </w:p>
    <w:p w14:paraId="5BE2F928" w14:textId="5D6F3422" w:rsidR="006B07CC" w:rsidRDefault="006B07CC" w:rsidP="00875586">
      <w:pPr>
        <w:jc w:val="both"/>
        <w:rPr>
          <w:rFonts w:cstheme="majorHAnsi"/>
        </w:rPr>
      </w:pPr>
    </w:p>
    <w:p w14:paraId="0E2FDA17" w14:textId="7E55FD19" w:rsidR="006B07CC" w:rsidRDefault="006B07CC" w:rsidP="00875586">
      <w:pPr>
        <w:jc w:val="both"/>
        <w:rPr>
          <w:rFonts w:cstheme="majorHAnsi"/>
        </w:rPr>
      </w:pPr>
    </w:p>
    <w:p w14:paraId="130DCEEF" w14:textId="77777777" w:rsidR="006B07CC" w:rsidRPr="00764FC3" w:rsidRDefault="006B07CC" w:rsidP="00875586">
      <w:pPr>
        <w:jc w:val="both"/>
        <w:rPr>
          <w:rFonts w:cstheme="majorHAnsi"/>
        </w:rPr>
      </w:pPr>
    </w:p>
    <w:p w14:paraId="1FF6A407" w14:textId="6F479A7B" w:rsidR="00B10745" w:rsidRPr="00D700E5" w:rsidRDefault="00B10745" w:rsidP="00D700E5">
      <w:pPr>
        <w:keepNext/>
        <w:shd w:val="clear" w:color="auto" w:fill="215E99" w:themeFill="text2" w:themeFillTint="BF"/>
        <w:tabs>
          <w:tab w:val="left" w:pos="540"/>
        </w:tabs>
        <w:spacing w:after="0" w:line="240" w:lineRule="auto"/>
        <w:outlineLvl w:val="0"/>
        <w:rPr>
          <w:rFonts w:asciiTheme="majorHAnsi" w:eastAsiaTheme="majorEastAsia" w:hAnsiTheme="majorHAnsi" w:cstheme="majorHAnsi"/>
          <w:b/>
          <w:color w:val="FFFFFF" w:themeColor="background1"/>
          <w:sz w:val="24"/>
          <w:szCs w:val="24"/>
        </w:rPr>
      </w:pPr>
      <w:bookmarkStart w:id="56" w:name="_Toc178434867"/>
      <w:bookmarkStart w:id="57" w:name="_Toc224550104"/>
      <w:r w:rsidRPr="003A5EB8">
        <w:rPr>
          <w:rFonts w:asciiTheme="majorHAnsi" w:eastAsiaTheme="majorEastAsia" w:hAnsiTheme="majorHAnsi" w:cstheme="majorHAnsi"/>
          <w:b/>
          <w:color w:val="FFFFFF" w:themeColor="background1"/>
          <w:sz w:val="24"/>
          <w:szCs w:val="24"/>
        </w:rPr>
        <w:lastRenderedPageBreak/>
        <w:t xml:space="preserve">Dodatak 5 </w:t>
      </w:r>
      <w:r>
        <w:rPr>
          <w:rFonts w:asciiTheme="majorHAnsi" w:eastAsiaTheme="majorEastAsia" w:hAnsiTheme="majorHAnsi" w:cstheme="majorHAnsi"/>
          <w:b/>
          <w:color w:val="FFFFFF" w:themeColor="background1"/>
          <w:sz w:val="24"/>
          <w:szCs w:val="24"/>
        </w:rPr>
        <w:t xml:space="preserve">Grant opštinskog učinka </w:t>
      </w:r>
      <w:r w:rsidRPr="003A5EB8">
        <w:rPr>
          <w:rFonts w:asciiTheme="majorHAnsi" w:eastAsiaTheme="majorEastAsia" w:hAnsiTheme="majorHAnsi" w:cstheme="majorHAnsi"/>
          <w:b/>
          <w:color w:val="FFFFFF" w:themeColor="background1"/>
          <w:sz w:val="24"/>
          <w:szCs w:val="24"/>
        </w:rPr>
        <w:t>za 2025.</w:t>
      </w:r>
      <w:r>
        <w:rPr>
          <w:rFonts w:asciiTheme="majorHAnsi" w:eastAsiaTheme="majorEastAsia" w:hAnsiTheme="majorHAnsi" w:cstheme="majorHAnsi"/>
          <w:b/>
          <w:color w:val="FFFFFF" w:themeColor="background1"/>
          <w:sz w:val="24"/>
          <w:szCs w:val="24"/>
        </w:rPr>
        <w:t xml:space="preserve"> godinu</w:t>
      </w:r>
      <w:r w:rsidRPr="003A5EB8">
        <w:rPr>
          <w:rFonts w:asciiTheme="majorHAnsi" w:eastAsiaTheme="majorEastAsia" w:hAnsiTheme="majorHAnsi" w:cstheme="majorHAnsi"/>
          <w:b/>
          <w:color w:val="FFFFFF" w:themeColor="background1"/>
          <w:sz w:val="24"/>
          <w:szCs w:val="24"/>
        </w:rPr>
        <w:t xml:space="preserve"> – </w:t>
      </w:r>
      <w:bookmarkEnd w:id="56"/>
      <w:r w:rsidRPr="003A5EB8">
        <w:rPr>
          <w:rFonts w:asciiTheme="majorHAnsi" w:eastAsiaTheme="majorEastAsia" w:hAnsiTheme="majorHAnsi" w:cstheme="majorHAnsi"/>
          <w:b/>
          <w:color w:val="FFFFFF" w:themeColor="background1"/>
          <w:sz w:val="24"/>
          <w:szCs w:val="24"/>
        </w:rPr>
        <w:t xml:space="preserve">Metodologija </w:t>
      </w:r>
      <w:r>
        <w:rPr>
          <w:rFonts w:asciiTheme="majorHAnsi" w:eastAsiaTheme="majorEastAsia" w:hAnsiTheme="majorHAnsi" w:cstheme="majorHAnsi"/>
          <w:b/>
          <w:color w:val="FFFFFF" w:themeColor="background1"/>
          <w:sz w:val="24"/>
          <w:szCs w:val="24"/>
        </w:rPr>
        <w:t>procene</w:t>
      </w:r>
      <w:bookmarkEnd w:id="57"/>
    </w:p>
    <w:p w14:paraId="1A35A459" w14:textId="77777777" w:rsidR="00D700E5" w:rsidRDefault="00D700E5" w:rsidP="00554C8D">
      <w:pPr>
        <w:spacing w:before="60" w:after="0" w:line="264" w:lineRule="auto"/>
        <w:jc w:val="both"/>
        <w:rPr>
          <w:rFonts w:cs="Calibri Light"/>
          <w:color w:val="0A2F41" w:themeColor="accent1" w:themeShade="80"/>
        </w:rPr>
      </w:pPr>
    </w:p>
    <w:p w14:paraId="44601162" w14:textId="30006529" w:rsidR="00554C8D" w:rsidRPr="00D700E5" w:rsidRDefault="00554C8D" w:rsidP="00D700E5">
      <w:pPr>
        <w:spacing w:before="60" w:line="264" w:lineRule="auto"/>
        <w:jc w:val="both"/>
        <w:rPr>
          <w:rFonts w:cs="Calibri Light"/>
          <w:b/>
          <w:bCs/>
          <w:color w:val="0A2F41" w:themeColor="accent1" w:themeShade="80"/>
          <w:lang w:val="sq-AL"/>
        </w:rPr>
      </w:pPr>
      <w:r w:rsidRPr="00D700E5">
        <w:rPr>
          <w:rFonts w:cs="Calibri Light"/>
          <w:b/>
          <w:bCs/>
          <w:color w:val="0A2F41" w:themeColor="accent1" w:themeShade="80"/>
          <w:lang w:val="sq-AL"/>
        </w:rPr>
        <w:t>Opšti aspekti metodologije procene</w:t>
      </w:r>
    </w:p>
    <w:p w14:paraId="558E7D4D" w14:textId="24BC7102"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„Pravila o Opštinskom grantu za učinak za fiskalnu 2026. godinu“, odobrena od strane MPLS-a (Ministarstvo administracije lokalne samouprave) i donatora uključenih u OGU, predstavljaju akt na osnovu kojeg je izvršena procena za opštinski grant za učinak za 2026. godinu. Pravila OGU 2026 objašnjavaju politike i kriterijume granta, kao i detaljna uputstva u vezi sa procesom procene učinka.</w:t>
      </w:r>
    </w:p>
    <w:p w14:paraId="225672B1" w14:textId="77777777" w:rsidR="00D700E5" w:rsidRDefault="00D700E5" w:rsidP="00554C8D">
      <w:pPr>
        <w:spacing w:before="60" w:after="0" w:line="264" w:lineRule="auto"/>
        <w:jc w:val="both"/>
        <w:rPr>
          <w:rFonts w:cs="Calibri Light"/>
          <w:color w:val="0A2F41" w:themeColor="accent1" w:themeShade="80"/>
        </w:rPr>
      </w:pPr>
    </w:p>
    <w:p w14:paraId="5669C565" w14:textId="3207C933" w:rsidR="00554C8D" w:rsidRDefault="00554C8D" w:rsidP="00554C8D">
      <w:pPr>
        <w:spacing w:before="60" w:after="0" w:line="264" w:lineRule="auto"/>
        <w:jc w:val="both"/>
        <w:rPr>
          <w:rFonts w:cs="Calibri Light"/>
          <w:b/>
          <w:bCs/>
          <w:color w:val="0A2F41" w:themeColor="accent1" w:themeShade="80"/>
        </w:rPr>
      </w:pPr>
      <w:r w:rsidRPr="00D700E5">
        <w:rPr>
          <w:rFonts w:cs="Calibri Light"/>
          <w:b/>
          <w:bCs/>
          <w:color w:val="0A2F41" w:themeColor="accent1" w:themeShade="80"/>
          <w:lang w:val="sq-AL"/>
        </w:rPr>
        <w:t>Period procene za Opštinski grant za učinak (Ciklusi upravljanja grantom</w:t>
      </w:r>
      <w:r w:rsidRPr="00D700E5">
        <w:rPr>
          <w:rFonts w:cs="Calibri Light"/>
          <w:b/>
          <w:bCs/>
          <w:color w:val="0A2F41" w:themeColor="accent1" w:themeShade="80"/>
        </w:rPr>
        <w:t>)</w:t>
      </w:r>
    </w:p>
    <w:p w14:paraId="6FBE7BA5" w14:textId="77777777" w:rsidR="00D700E5" w:rsidRPr="00554C8D" w:rsidRDefault="00D700E5" w:rsidP="00554C8D">
      <w:pPr>
        <w:spacing w:before="60" w:after="0" w:line="264" w:lineRule="auto"/>
        <w:jc w:val="both"/>
        <w:rPr>
          <w:rFonts w:cs="Calibri Light"/>
          <w:color w:val="0A2F41" w:themeColor="accent1" w:themeShade="80"/>
        </w:rPr>
      </w:pPr>
    </w:p>
    <w:p w14:paraId="0510F904" w14:textId="6C480ED9"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Period procene za opštinski grant za učinak podeljen je u 3 glavne faze:</w:t>
      </w:r>
    </w:p>
    <w:p w14:paraId="2FE8EAFB" w14:textId="236E92B8" w:rsidR="00554C8D" w:rsidRPr="00D700E5" w:rsidRDefault="00554C8D" w:rsidP="00D700E5">
      <w:pPr>
        <w:pStyle w:val="ListParagraph"/>
        <w:numPr>
          <w:ilvl w:val="0"/>
          <w:numId w:val="8"/>
        </w:numPr>
        <w:spacing w:before="60" w:after="0" w:line="264" w:lineRule="auto"/>
        <w:jc w:val="both"/>
        <w:rPr>
          <w:rFonts w:cs="Calibri Light"/>
          <w:color w:val="0A2F41" w:themeColor="accent1" w:themeShade="80"/>
        </w:rPr>
      </w:pPr>
      <w:r w:rsidRPr="00D700E5">
        <w:rPr>
          <w:rFonts w:cs="Calibri Light"/>
          <w:color w:val="0A2F41" w:themeColor="accent1" w:themeShade="80"/>
        </w:rPr>
        <w:t>Period učinka – podrazumeva godinu za koju se procenjuje učinak opštine. Na osnovu pravila OGU 2026, procenjuje se opštinski učinak iz 2024. godine;</w:t>
      </w:r>
    </w:p>
    <w:p w14:paraId="219AB945" w14:textId="63FF684B" w:rsidR="00554C8D" w:rsidRPr="00D700E5" w:rsidRDefault="00554C8D" w:rsidP="00D700E5">
      <w:pPr>
        <w:pStyle w:val="ListParagraph"/>
        <w:numPr>
          <w:ilvl w:val="0"/>
          <w:numId w:val="8"/>
        </w:numPr>
        <w:spacing w:before="60" w:after="0" w:line="264" w:lineRule="auto"/>
        <w:jc w:val="both"/>
        <w:rPr>
          <w:rFonts w:cs="Calibri Light"/>
          <w:color w:val="0A2F41" w:themeColor="accent1" w:themeShade="80"/>
        </w:rPr>
      </w:pPr>
      <w:r w:rsidRPr="00D700E5">
        <w:rPr>
          <w:rFonts w:cs="Calibri Light"/>
          <w:color w:val="0A2F41" w:themeColor="accent1" w:themeShade="80"/>
        </w:rPr>
        <w:t>Period procene – podrazumeva period u kojem se vrši procena učinka za OGU.</w:t>
      </w:r>
    </w:p>
    <w:p w14:paraId="03C73541" w14:textId="58510213" w:rsidR="00554C8D" w:rsidRPr="00D700E5" w:rsidRDefault="00554C8D" w:rsidP="00D700E5">
      <w:pPr>
        <w:pStyle w:val="ListParagraph"/>
        <w:numPr>
          <w:ilvl w:val="0"/>
          <w:numId w:val="8"/>
        </w:numPr>
        <w:spacing w:before="60" w:after="0" w:line="264" w:lineRule="auto"/>
        <w:jc w:val="both"/>
        <w:rPr>
          <w:rFonts w:cs="Calibri Light"/>
          <w:color w:val="0A2F41" w:themeColor="accent1" w:themeShade="80"/>
        </w:rPr>
      </w:pPr>
      <w:r w:rsidRPr="00D700E5">
        <w:rPr>
          <w:rFonts w:cs="Calibri Light"/>
          <w:color w:val="0A2F41" w:themeColor="accent1" w:themeShade="80"/>
        </w:rPr>
        <w:t>Period dodele i korišćenja granta – podrazumeva godinu u kojoj se grant stavlja na raspolaganje opštinama za korišćenje. Na osnovu ovih pravila, grant će biti dostupan opštinama 2026. godine.</w:t>
      </w:r>
    </w:p>
    <w:p w14:paraId="719211A6" w14:textId="77777777" w:rsidR="00D700E5" w:rsidRDefault="00D700E5" w:rsidP="00554C8D">
      <w:pPr>
        <w:spacing w:before="60" w:after="0" w:line="264" w:lineRule="auto"/>
        <w:jc w:val="both"/>
        <w:rPr>
          <w:rFonts w:cs="Calibri Light"/>
          <w:color w:val="0A2F41" w:themeColor="accent1" w:themeShade="80"/>
        </w:rPr>
      </w:pPr>
    </w:p>
    <w:p w14:paraId="0C52C32D" w14:textId="3640DE04" w:rsidR="00554C8D" w:rsidRPr="00D700E5" w:rsidRDefault="00554C8D" w:rsidP="00554C8D">
      <w:pPr>
        <w:spacing w:before="60" w:after="0" w:line="264" w:lineRule="auto"/>
        <w:jc w:val="both"/>
        <w:rPr>
          <w:rFonts w:cs="Calibri Light"/>
          <w:b/>
          <w:bCs/>
          <w:color w:val="0A2F41" w:themeColor="accent1" w:themeShade="80"/>
          <w:lang w:val="sq-AL"/>
        </w:rPr>
      </w:pPr>
      <w:r w:rsidRPr="00D700E5">
        <w:rPr>
          <w:rFonts w:cs="Calibri Light"/>
          <w:b/>
          <w:bCs/>
          <w:color w:val="0A2F41" w:themeColor="accent1" w:themeShade="80"/>
          <w:lang w:val="sq-AL"/>
        </w:rPr>
        <w:t>Minimalni uslovi i indikatori učinka</w:t>
      </w:r>
    </w:p>
    <w:p w14:paraId="191CAB02" w14:textId="4D91918D"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Da bi se kvalifikovale za opštinski grant za učinak za 2026. godinu (napomena: u originalu stoji 2025, ali se kontekst odnosi na 2026), opštine moraju ispuniti sledeća 4 minimalna uslova:</w:t>
      </w:r>
    </w:p>
    <w:p w14:paraId="531EC49B" w14:textId="0A8897B9" w:rsidR="00554C8D" w:rsidRPr="00D700E5" w:rsidRDefault="00554C8D" w:rsidP="00D700E5">
      <w:pPr>
        <w:pStyle w:val="ListParagraph"/>
        <w:numPr>
          <w:ilvl w:val="0"/>
          <w:numId w:val="9"/>
        </w:numPr>
        <w:spacing w:before="60" w:after="0" w:line="264" w:lineRule="auto"/>
        <w:jc w:val="both"/>
        <w:rPr>
          <w:rFonts w:cs="Calibri Light"/>
          <w:color w:val="0A2F41" w:themeColor="accent1" w:themeShade="80"/>
        </w:rPr>
      </w:pPr>
      <w:r w:rsidRPr="00D700E5">
        <w:rPr>
          <w:rFonts w:cs="Calibri Light"/>
          <w:color w:val="0A2F41" w:themeColor="accent1" w:themeShade="80"/>
        </w:rPr>
        <w:t>Opštine moraju izvestiti o podacima u SUMO (Sistem upravljanja opštinskim učinkom) prema roku utvrđenom u članu 19.2 Zakona o SUMO/OGU[1];</w:t>
      </w:r>
    </w:p>
    <w:p w14:paraId="090A1F95" w14:textId="0F4F0781" w:rsidR="00554C8D" w:rsidRPr="00D700E5" w:rsidRDefault="00554C8D" w:rsidP="00D700E5">
      <w:pPr>
        <w:pStyle w:val="ListParagraph"/>
        <w:numPr>
          <w:ilvl w:val="0"/>
          <w:numId w:val="9"/>
        </w:numPr>
        <w:spacing w:before="60" w:after="0" w:line="264" w:lineRule="auto"/>
        <w:jc w:val="both"/>
        <w:rPr>
          <w:rFonts w:cs="Calibri Light"/>
          <w:color w:val="0A2F41" w:themeColor="accent1" w:themeShade="80"/>
        </w:rPr>
      </w:pPr>
      <w:r w:rsidRPr="00D700E5">
        <w:rPr>
          <w:rFonts w:cs="Calibri Light"/>
          <w:color w:val="0A2F41" w:themeColor="accent1" w:themeShade="80"/>
        </w:rPr>
        <w:t>Opštine moraju poštovati zakonsku obavezu preispitivanja opštinskih akata koje je nadzorni organ ocenio kao nezakonite[2];</w:t>
      </w:r>
    </w:p>
    <w:p w14:paraId="5D5826FF" w14:textId="171AE83C" w:rsidR="00554C8D" w:rsidRPr="00D700E5" w:rsidRDefault="00554C8D" w:rsidP="00D700E5">
      <w:pPr>
        <w:pStyle w:val="ListParagraph"/>
        <w:numPr>
          <w:ilvl w:val="0"/>
          <w:numId w:val="9"/>
        </w:numPr>
        <w:spacing w:before="60" w:after="0" w:line="264" w:lineRule="auto"/>
        <w:jc w:val="both"/>
        <w:rPr>
          <w:rFonts w:cs="Calibri Light"/>
          <w:color w:val="0A2F41" w:themeColor="accent1" w:themeShade="80"/>
        </w:rPr>
      </w:pPr>
      <w:r w:rsidRPr="00D700E5">
        <w:rPr>
          <w:rFonts w:cs="Calibri Light"/>
          <w:color w:val="0A2F41" w:themeColor="accent1" w:themeShade="80"/>
        </w:rPr>
        <w:t>Revizorsko mišljenje mora biti najmanje nemodifikovano uz isticanje pitanja; i</w:t>
      </w:r>
    </w:p>
    <w:p w14:paraId="03A5CD7C" w14:textId="51CA8288" w:rsidR="00D700E5" w:rsidRPr="00D700E5" w:rsidRDefault="00554C8D" w:rsidP="00D700E5">
      <w:pPr>
        <w:pStyle w:val="ListParagraph"/>
        <w:numPr>
          <w:ilvl w:val="0"/>
          <w:numId w:val="9"/>
        </w:numPr>
        <w:spacing w:before="60" w:after="0" w:line="264" w:lineRule="auto"/>
        <w:jc w:val="both"/>
        <w:rPr>
          <w:rFonts w:cs="Calibri Light"/>
          <w:color w:val="0A2F41" w:themeColor="accent1" w:themeShade="80"/>
        </w:rPr>
      </w:pPr>
      <w:r w:rsidRPr="00D700E5">
        <w:rPr>
          <w:rFonts w:cs="Calibri Light"/>
          <w:color w:val="0A2F41" w:themeColor="accent1" w:themeShade="80"/>
        </w:rPr>
        <w:t>Opštine moraju potrošiti 75% ili više konačnog budžeta za kapitalne investicije.</w:t>
      </w:r>
    </w:p>
    <w:p w14:paraId="3878F773" w14:textId="457B4F05"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Opštine koje nisu ispunile jedan od gore navedenih minimalnih uslova neće moći da dobiju opštinski grant za učinak, bez obzira na njihove bodove u indikatorima učinka.</w:t>
      </w:r>
    </w:p>
    <w:p w14:paraId="597C9AF8" w14:textId="26935F1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Različiti indikatori imaju različit broj bodova, zavisno od težine i značaja koji im je pripisan. Aneks 2 Pravila o opštinskom grantu za učinak za FY 2026 sadrži detaljan vodič o dodeli bodova unutar maksimalnih vrednosti. Bodovi su kalibrisani tako da nagrađuju dobre i prihvatljive nivoe učinka, ali se za svaki indikator, za suboptimalni učinak, daje vrlo malo ili nimalo bodova, što znači da bodovi zaista stimulišu visok učinak umesto prosečnog. To takođe znači da će opštine koje dobro posluju u određenom broju indikatora dobiti znatno više bodova od onih koje pokazuju prosečan učinak.</w:t>
      </w:r>
    </w:p>
    <w:p w14:paraId="0E96EC09" w14:textId="63F69D16" w:rsid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Za sve opštine koje su ispunile minimalne uslove, opštinski grant za učinak koji svaka opština dobija zasniva se na njenim relativnim bodovima postignutim u 29 indikatora učinka (njeni bodovi u poređenju sa bodovima svih ostalih opština).</w:t>
      </w:r>
    </w:p>
    <w:p w14:paraId="06F55187" w14:textId="77777777" w:rsidR="00D700E5" w:rsidRPr="00554C8D" w:rsidRDefault="00D700E5" w:rsidP="00554C8D">
      <w:pPr>
        <w:spacing w:before="60" w:after="0" w:line="264" w:lineRule="auto"/>
        <w:jc w:val="both"/>
        <w:rPr>
          <w:rFonts w:cs="Calibri Light"/>
          <w:color w:val="0A2F41" w:themeColor="accent1" w:themeShade="80"/>
        </w:rPr>
      </w:pPr>
    </w:p>
    <w:p w14:paraId="4EE9CBBE" w14:textId="77777777" w:rsidR="00554C8D" w:rsidRPr="00D700E5" w:rsidRDefault="00554C8D" w:rsidP="00554C8D">
      <w:pPr>
        <w:spacing w:before="60" w:after="0" w:line="264" w:lineRule="auto"/>
        <w:jc w:val="both"/>
        <w:rPr>
          <w:rFonts w:cs="Calibri Light"/>
          <w:b/>
          <w:bCs/>
          <w:color w:val="0A2F41" w:themeColor="accent1" w:themeShade="80"/>
          <w:lang w:val="sq-AL"/>
        </w:rPr>
      </w:pPr>
      <w:r w:rsidRPr="00D700E5">
        <w:rPr>
          <w:rFonts w:cs="Calibri Light"/>
          <w:b/>
          <w:bCs/>
          <w:color w:val="0A2F41" w:themeColor="accent1" w:themeShade="80"/>
          <w:lang w:val="sq-AL"/>
        </w:rPr>
        <w:t>Izvori podataka za procenu minimalnih uslova i indikatora opštinskog granta za učinak</w:t>
      </w:r>
    </w:p>
    <w:p w14:paraId="2E5CC170" w14:textId="77777777" w:rsidR="00D700E5" w:rsidRDefault="00D700E5" w:rsidP="00554C8D">
      <w:pPr>
        <w:spacing w:before="60" w:after="0" w:line="264" w:lineRule="auto"/>
        <w:jc w:val="both"/>
        <w:rPr>
          <w:rFonts w:cs="Calibri Light"/>
          <w:color w:val="0A2F41" w:themeColor="accent1" w:themeShade="80"/>
        </w:rPr>
      </w:pPr>
    </w:p>
    <w:p w14:paraId="2119B978" w14:textId="12219BA5"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Podaci za procenu učinka za grant za 2026. godinu dolaze iz sledećih izvora:</w:t>
      </w:r>
    </w:p>
    <w:p w14:paraId="057A9244" w14:textId="5C5E51A4"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lastRenderedPageBreak/>
        <w:t>Izveštaj Sistema za upravljanje opštinskim učinkom za 2024. godinu (SUMO) MPLS-a;</w:t>
      </w:r>
    </w:p>
    <w:p w14:paraId="11882948" w14:textId="296EE642"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Izveštaj o funkcionisanju opština Kosova za 2024. godinu MPLS-a i Izveštaj o proceni zakonitosti akata skupština opština 2024;</w:t>
      </w:r>
    </w:p>
    <w:p w14:paraId="2FA4725E"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Godišnji izveštaji revizije pravilnosti (finansijski i usklađenosti) za svaku opštinu za fiskalnu 2024. godinu, objavljeni od strane Nacionalne kancelarije revizije.</w:t>
      </w:r>
    </w:p>
    <w:p w14:paraId="52C4575D" w14:textId="77777777" w:rsidR="00554C8D" w:rsidRPr="00554C8D" w:rsidRDefault="00554C8D" w:rsidP="00554C8D">
      <w:pPr>
        <w:spacing w:before="60" w:after="0" w:line="264" w:lineRule="auto"/>
        <w:jc w:val="both"/>
        <w:rPr>
          <w:rFonts w:cs="Calibri Light"/>
          <w:color w:val="0A2F41" w:themeColor="accent1" w:themeShade="80"/>
        </w:rPr>
      </w:pPr>
    </w:p>
    <w:p w14:paraId="5158751C" w14:textId="5E5A7F46" w:rsidR="00554C8D" w:rsidRDefault="00554C8D" w:rsidP="00554C8D">
      <w:pPr>
        <w:spacing w:before="60" w:after="0" w:line="264" w:lineRule="auto"/>
        <w:jc w:val="both"/>
        <w:rPr>
          <w:rFonts w:cs="Calibri Light"/>
          <w:b/>
          <w:bCs/>
          <w:color w:val="0A2F41" w:themeColor="accent1" w:themeShade="80"/>
          <w:lang w:val="sq-AL"/>
        </w:rPr>
      </w:pPr>
      <w:r w:rsidRPr="00D700E5">
        <w:rPr>
          <w:rFonts w:cs="Calibri Light"/>
          <w:b/>
          <w:bCs/>
          <w:color w:val="0A2F41" w:themeColor="accent1" w:themeShade="80"/>
          <w:lang w:val="sq-AL"/>
        </w:rPr>
        <w:t>Proces procene - Institucionalni aranžmani</w:t>
      </w:r>
    </w:p>
    <w:p w14:paraId="50D18CC6" w14:textId="77777777" w:rsidR="00D700E5" w:rsidRPr="00D700E5" w:rsidRDefault="00D700E5" w:rsidP="00554C8D">
      <w:pPr>
        <w:spacing w:before="60" w:after="0" w:line="264" w:lineRule="auto"/>
        <w:jc w:val="both"/>
        <w:rPr>
          <w:rFonts w:cs="Calibri Light"/>
          <w:b/>
          <w:bCs/>
          <w:color w:val="0A2F41" w:themeColor="accent1" w:themeShade="80"/>
          <w:lang w:val="sq-AL"/>
        </w:rPr>
      </w:pPr>
    </w:p>
    <w:p w14:paraId="49918358"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Komisija opštinskog granta za učinak (KOGU) i tehnička grupa su organi odgovorni za procenu i dodelu opštinskog granta za učinak. Komisija za žalbe razmatra i odlučuje o eventualnim žalbama opština. Komisija za žalbe ne razmatra žalbe koje se odnose na izvor podataka korišćenih tokom procene učinka, jer je taj proces okončan u prvoj fazi procene kada su podaci odobreni kao konačni i kada su strane imale na raspolaganju instrument žalbe.</w:t>
      </w:r>
    </w:p>
    <w:p w14:paraId="6E68AE71" w14:textId="77777777" w:rsidR="00554C8D" w:rsidRPr="00554C8D" w:rsidRDefault="00554C8D" w:rsidP="00554C8D">
      <w:pPr>
        <w:spacing w:before="60" w:after="0" w:line="264" w:lineRule="auto"/>
        <w:jc w:val="both"/>
        <w:rPr>
          <w:rFonts w:cs="Calibri Light"/>
          <w:color w:val="0A2F41" w:themeColor="accent1" w:themeShade="80"/>
        </w:rPr>
      </w:pPr>
    </w:p>
    <w:p w14:paraId="40F91F56"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KOGU je najviši organ odlučivanja za grant. Ova komisija preuzima konačnu odgovornost za dodelu granta. Glavna funkcija KOGU-a je da garantuje da je procena izvršena u skladu sa kriterijumima i pravilima opštinskog granta za učinak. KOGU ne može menjati rezultate procene i iznose granta bez potpune primene procesa procene u skladu sa pravilima granta.</w:t>
      </w:r>
    </w:p>
    <w:p w14:paraId="3033EA81" w14:textId="77777777" w:rsidR="00554C8D" w:rsidRPr="00554C8D" w:rsidRDefault="00554C8D" w:rsidP="00554C8D">
      <w:pPr>
        <w:spacing w:before="60" w:after="0" w:line="264" w:lineRule="auto"/>
        <w:jc w:val="both"/>
        <w:rPr>
          <w:rFonts w:cs="Calibri Light"/>
          <w:color w:val="0A2F41" w:themeColor="accent1" w:themeShade="80"/>
        </w:rPr>
      </w:pPr>
    </w:p>
    <w:p w14:paraId="7C2BFDD9" w14:textId="1E84381D" w:rsidR="00554C8D" w:rsidRPr="00D700E5" w:rsidRDefault="00554C8D" w:rsidP="00554C8D">
      <w:pPr>
        <w:spacing w:before="60" w:after="0" w:line="264" w:lineRule="auto"/>
        <w:jc w:val="both"/>
        <w:rPr>
          <w:rFonts w:cs="Calibri Light"/>
          <w:b/>
          <w:bCs/>
          <w:color w:val="0A2F41" w:themeColor="accent1" w:themeShade="80"/>
          <w:lang w:val="sq-AL"/>
        </w:rPr>
      </w:pPr>
      <w:r w:rsidRPr="00D700E5">
        <w:rPr>
          <w:rFonts w:cs="Calibri Light"/>
          <w:b/>
          <w:bCs/>
          <w:color w:val="0A2F41" w:themeColor="accent1" w:themeShade="80"/>
          <w:lang w:val="sq-AL"/>
        </w:rPr>
        <w:t>Komisija opštinskog granta za učinak sastoji se od:</w:t>
      </w:r>
    </w:p>
    <w:p w14:paraId="76FE8892" w14:textId="5169649C"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člana iz MPLS-a (Generalni sekretar / Predsedavajući),</w:t>
      </w:r>
    </w:p>
    <w:p w14:paraId="7088EDF6" w14:textId="534597BA"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člana – javni zvaničnik na rukovodećem nivou ministarstva,</w:t>
      </w:r>
    </w:p>
    <w:p w14:paraId="2527D7CA" w14:textId="2FDA995B"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člana – javni zvaničnik iz ministarstva nadležnog za finansije,</w:t>
      </w:r>
    </w:p>
    <w:p w14:paraId="5D8DA333" w14:textId="703A094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posmatrača iz Evropske unije na Kosovu,</w:t>
      </w:r>
    </w:p>
    <w:p w14:paraId="206D7612" w14:textId="7D82E518"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posmatrača iz Švedske,</w:t>
      </w:r>
    </w:p>
    <w:p w14:paraId="0B37A3D7" w14:textId="219BD71C"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posmatrača iz Švajcarske i posmatrača iz civilnog društva.</w:t>
      </w:r>
    </w:p>
    <w:p w14:paraId="2636CA77" w14:textId="72981DB8" w:rsidR="00554C8D" w:rsidRPr="00554C8D" w:rsidRDefault="00554C8D" w:rsidP="00554C8D">
      <w:pPr>
        <w:spacing w:before="60" w:after="0" w:line="264" w:lineRule="auto"/>
        <w:jc w:val="both"/>
        <w:rPr>
          <w:rFonts w:cs="Calibri Light"/>
          <w:color w:val="0A2F41" w:themeColor="accent1" w:themeShade="80"/>
        </w:rPr>
      </w:pPr>
      <w:r w:rsidRPr="00D700E5">
        <w:rPr>
          <w:rFonts w:cs="Calibri Light"/>
          <w:b/>
          <w:bCs/>
          <w:color w:val="0A2F41" w:themeColor="accent1" w:themeShade="80"/>
        </w:rPr>
        <w:t>Tehnička grupa se sastoji od 5 članova</w:t>
      </w:r>
      <w:r w:rsidRPr="00554C8D">
        <w:rPr>
          <w:rFonts w:cs="Calibri Light"/>
          <w:color w:val="0A2F41" w:themeColor="accent1" w:themeShade="80"/>
        </w:rPr>
        <w:t>:</w:t>
      </w:r>
    </w:p>
    <w:p w14:paraId="291CE1D7" w14:textId="50B8FFCC"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Četiri (4) člana iz Ministarstva, službenici jedinice odgovorne za opštinski učinak ili drugih organizacionih jedinica;</w:t>
      </w:r>
    </w:p>
    <w:p w14:paraId="204DD4B7" w14:textId="643A1AEF"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Jedan (1) član koji predstavlja subjekte donatore;</w:t>
      </w:r>
    </w:p>
    <w:p w14:paraId="6CD8B5D8" w14:textId="24283D42"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U svojstvu posmatrača, u radu radne grupe pozivaju se da učestvuju i predstavnici civilnog društva.</w:t>
      </w:r>
    </w:p>
    <w:p w14:paraId="345A26DF" w14:textId="76DDE68F" w:rsidR="00554C8D" w:rsidRPr="00554C8D" w:rsidRDefault="00554C8D" w:rsidP="00554C8D">
      <w:pPr>
        <w:spacing w:before="60" w:after="0" w:line="264" w:lineRule="auto"/>
        <w:jc w:val="both"/>
        <w:rPr>
          <w:rFonts w:cs="Calibri Light"/>
          <w:color w:val="0A2F41" w:themeColor="accent1" w:themeShade="80"/>
        </w:rPr>
      </w:pPr>
      <w:r w:rsidRPr="00D700E5">
        <w:rPr>
          <w:rFonts w:cs="Calibri Light"/>
          <w:b/>
          <w:bCs/>
          <w:color w:val="0A2F41" w:themeColor="accent1" w:themeShade="80"/>
        </w:rPr>
        <w:t>Komisija za žalbe sastoji se od 3 člana</w:t>
      </w:r>
      <w:r w:rsidRPr="00554C8D">
        <w:rPr>
          <w:rFonts w:cs="Calibri Light"/>
          <w:color w:val="0A2F41" w:themeColor="accent1" w:themeShade="80"/>
        </w:rPr>
        <w:t>:</w:t>
      </w:r>
    </w:p>
    <w:p w14:paraId="5AFB719A" w14:textId="39E2E1ED"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2 predstavnika MPLS-a (jedan od njih predsedavajući);</w:t>
      </w:r>
    </w:p>
    <w:p w14:paraId="2CB1F47E" w14:textId="5002232E"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spoljni predstavnik;</w:t>
      </w:r>
    </w:p>
    <w:p w14:paraId="308ED89B" w14:textId="7D0C6CA1"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2 posmatrača DEMOS-a.</w:t>
      </w:r>
    </w:p>
    <w:p w14:paraId="73187584"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Članovi komisije za grant ili tehničke grupe ne mogu biti i članovi komisije za žalbe u istom periodu procene. Detaljni projektni zadaci za Tehničku grupu, Komisiju opštinskog granta za učinak i Komisiju za žalbe dati su u aneksima 5, 6 i 7 Pravila o opštinskom grantu za učinak za fiskalnu 2025. godinu.</w:t>
      </w:r>
    </w:p>
    <w:p w14:paraId="0C614689" w14:textId="434AE908" w:rsidR="00554C8D" w:rsidRDefault="00554C8D" w:rsidP="00554C8D">
      <w:pPr>
        <w:spacing w:before="60" w:after="0" w:line="264" w:lineRule="auto"/>
        <w:jc w:val="both"/>
        <w:rPr>
          <w:rFonts w:cs="Calibri Light"/>
          <w:color w:val="0A2F41" w:themeColor="accent1" w:themeShade="80"/>
        </w:rPr>
      </w:pPr>
    </w:p>
    <w:p w14:paraId="2BDAB02C" w14:textId="7FA560C5" w:rsidR="00D700E5" w:rsidRDefault="00D700E5" w:rsidP="00554C8D">
      <w:pPr>
        <w:spacing w:before="60" w:after="0" w:line="264" w:lineRule="auto"/>
        <w:jc w:val="both"/>
        <w:rPr>
          <w:rFonts w:cs="Calibri Light"/>
          <w:color w:val="0A2F41" w:themeColor="accent1" w:themeShade="80"/>
        </w:rPr>
      </w:pPr>
    </w:p>
    <w:p w14:paraId="067E6F23" w14:textId="77777777" w:rsidR="00D700E5" w:rsidRPr="00554C8D" w:rsidRDefault="00D700E5" w:rsidP="00554C8D">
      <w:pPr>
        <w:spacing w:before="60" w:after="0" w:line="264" w:lineRule="auto"/>
        <w:jc w:val="both"/>
        <w:rPr>
          <w:rFonts w:cs="Calibri Light"/>
          <w:color w:val="0A2F41" w:themeColor="accent1" w:themeShade="80"/>
        </w:rPr>
      </w:pPr>
    </w:p>
    <w:p w14:paraId="0ADBB9BC" w14:textId="77777777" w:rsidR="00554C8D" w:rsidRPr="00D700E5" w:rsidRDefault="00554C8D" w:rsidP="00554C8D">
      <w:pPr>
        <w:spacing w:before="60" w:after="0" w:line="264" w:lineRule="auto"/>
        <w:jc w:val="both"/>
        <w:rPr>
          <w:rFonts w:cs="Calibri Light"/>
          <w:b/>
          <w:bCs/>
          <w:color w:val="0A2F41" w:themeColor="accent1" w:themeShade="80"/>
        </w:rPr>
      </w:pPr>
      <w:r w:rsidRPr="00D700E5">
        <w:rPr>
          <w:rFonts w:cs="Calibri Light"/>
          <w:b/>
          <w:bCs/>
          <w:color w:val="0A2F41" w:themeColor="accent1" w:themeShade="80"/>
        </w:rPr>
        <w:lastRenderedPageBreak/>
        <w:t>Procedure procene, pripreme i sprovođenje</w:t>
      </w:r>
    </w:p>
    <w:p w14:paraId="2A710B1C"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Tehnička grupa je pripremila Pravila OGU za FY 2026. Pravila za FY 2026 su odobrena od strane MPLS-a i donatora, a zatim su distribuirana i objavljena.</w:t>
      </w:r>
    </w:p>
    <w:p w14:paraId="4DC3F249" w14:textId="77777777" w:rsidR="00554C8D" w:rsidRPr="00554C8D" w:rsidRDefault="00554C8D" w:rsidP="00554C8D">
      <w:pPr>
        <w:spacing w:before="60" w:after="0" w:line="264" w:lineRule="auto"/>
        <w:jc w:val="both"/>
        <w:rPr>
          <w:rFonts w:cs="Calibri Light"/>
          <w:color w:val="0A2F41" w:themeColor="accent1" w:themeShade="80"/>
        </w:rPr>
      </w:pPr>
    </w:p>
    <w:p w14:paraId="7132AE70"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Prikupljanje i procena podataka</w:t>
      </w:r>
    </w:p>
    <w:p w14:paraId="405AE950"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Procena granta za učinak za fiskalnu 2026. godinu izvršena je putem modula granta u Elektronskom sistemu za upravljanje opštinskim učinkom. Tehnička grupa je prikupila podatke za minimalne uslove i popunila podatke o opštem grantu za svaku opštinu prema budžetskom cirkularu 2025/01. Ova grupa je takođe izvršila kontrolu kvaliteta podataka prenetih u bodovne liste i bazu podataka.</w:t>
      </w:r>
    </w:p>
    <w:p w14:paraId="7AB567D1" w14:textId="77777777" w:rsidR="00554C8D" w:rsidRPr="00554C8D" w:rsidRDefault="00554C8D" w:rsidP="00554C8D">
      <w:pPr>
        <w:spacing w:before="60" w:after="0" w:line="264" w:lineRule="auto"/>
        <w:jc w:val="both"/>
        <w:rPr>
          <w:rFonts w:cs="Calibri Light"/>
          <w:color w:val="0A2F41" w:themeColor="accent1" w:themeShade="80"/>
        </w:rPr>
      </w:pPr>
    </w:p>
    <w:p w14:paraId="1C5CC140" w14:textId="77777777" w:rsidR="00554C8D" w:rsidRPr="00554C8D"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[1] Rok za izveštavanje o podacima o učinku od strane opštine je 45 kalendarskih dana od trenutka prijema zahteva za izveštavanje od strane ministarstva.</w:t>
      </w:r>
    </w:p>
    <w:p w14:paraId="4B41D4DA" w14:textId="2D6E85B3" w:rsidR="00554C8D" w:rsidRPr="003A5EB8" w:rsidRDefault="00554C8D" w:rsidP="00554C8D">
      <w:pPr>
        <w:spacing w:before="60" w:after="0" w:line="264" w:lineRule="auto"/>
        <w:jc w:val="both"/>
        <w:rPr>
          <w:rFonts w:cs="Calibri Light"/>
          <w:color w:val="0A2F41" w:themeColor="accent1" w:themeShade="80"/>
        </w:rPr>
      </w:pPr>
      <w:r w:rsidRPr="00554C8D">
        <w:rPr>
          <w:rFonts w:cs="Calibri Light"/>
          <w:color w:val="0A2F41" w:themeColor="accent1" w:themeShade="80"/>
        </w:rPr>
        <w:t>[2] Preispitivanje u svrhe OGU je proceduralni kriterijum, koji podrazumeva obavezu opštine da u Skupštini opštine preispita akte ocenjene kao nezakonite u 2022. godini od strane nadzornog organa, bez pretpostavljanja konačnog sadržaja preispitanog akta.</w:t>
      </w:r>
    </w:p>
    <w:p w14:paraId="53FF5DE9" w14:textId="77777777" w:rsidR="00B10745" w:rsidRPr="003A5EB8" w:rsidRDefault="00B10745" w:rsidP="00554C8D">
      <w:pPr>
        <w:spacing w:before="60" w:after="0" w:line="264" w:lineRule="auto"/>
        <w:jc w:val="both"/>
        <w:rPr>
          <w:rFonts w:cs="Calibri Light"/>
          <w:b/>
          <w:bCs/>
          <w:color w:val="0A2F41" w:themeColor="accent1" w:themeShade="80"/>
        </w:rPr>
      </w:pPr>
      <w:r w:rsidRPr="003A5EB8">
        <w:rPr>
          <w:rFonts w:cs="Calibri Light"/>
          <w:b/>
          <w:bCs/>
          <w:color w:val="0A2F41" w:themeColor="accent1" w:themeShade="80"/>
        </w:rPr>
        <w:t xml:space="preserve">Opšti aspekti metodologije </w:t>
      </w:r>
      <w:r>
        <w:rPr>
          <w:rFonts w:cs="Calibri Light"/>
          <w:b/>
          <w:bCs/>
          <w:color w:val="0A2F41" w:themeColor="accent1" w:themeShade="80"/>
        </w:rPr>
        <w:t>procene</w:t>
      </w:r>
    </w:p>
    <w:p w14:paraId="06C2846C"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color w:val="0A2F41" w:themeColor="accent1" w:themeShade="80"/>
        </w:rPr>
        <w:t xml:space="preserve">'Pravila o grantu za opštinski učinak za fiskalnu 2025. godinu', odobrena od strane MALS-a i donatora uključenih u </w:t>
      </w:r>
      <w:r>
        <w:rPr>
          <w:rFonts w:cs="Calibri Light"/>
          <w:color w:val="0A2F41" w:themeColor="accent1" w:themeShade="80"/>
        </w:rPr>
        <w:t>GOU</w:t>
      </w:r>
      <w:r w:rsidRPr="003A5EB8">
        <w:rPr>
          <w:rFonts w:cs="Calibri Light"/>
          <w:color w:val="0A2F41" w:themeColor="accent1" w:themeShade="80"/>
        </w:rPr>
        <w:t>, predstavljaju akt na osnovu kojeg je napravljena procena granta za opštin</w:t>
      </w:r>
      <w:r>
        <w:rPr>
          <w:rFonts w:cs="Calibri Light"/>
          <w:color w:val="0A2F41" w:themeColor="accent1" w:themeShade="80"/>
        </w:rPr>
        <w:t>ski učinak</w:t>
      </w:r>
      <w:r w:rsidRPr="003A5EB8">
        <w:rPr>
          <w:rFonts w:cs="Calibri Light"/>
          <w:color w:val="0A2F41" w:themeColor="accent1" w:themeShade="80"/>
        </w:rPr>
        <w:t xml:space="preserve"> za 2025. godinu G</w:t>
      </w:r>
      <w:r>
        <w:rPr>
          <w:rFonts w:cs="Calibri Light"/>
          <w:color w:val="0A2F41" w:themeColor="accent1" w:themeShade="80"/>
        </w:rPr>
        <w:t>OU</w:t>
      </w:r>
      <w:r w:rsidRPr="003A5EB8">
        <w:rPr>
          <w:rFonts w:cs="Calibri Light"/>
          <w:color w:val="0A2F41" w:themeColor="accent1" w:themeShade="80"/>
        </w:rPr>
        <w:t xml:space="preserve"> 2025</w:t>
      </w:r>
      <w:r>
        <w:rPr>
          <w:rFonts w:cs="Calibri Light"/>
          <w:color w:val="0A2F41" w:themeColor="accent1" w:themeShade="80"/>
        </w:rPr>
        <w:t>.</w:t>
      </w:r>
      <w:r w:rsidRPr="003A5EB8">
        <w:rPr>
          <w:rFonts w:cs="Calibri Light"/>
          <w:color w:val="0A2F41" w:themeColor="accent1" w:themeShade="80"/>
        </w:rPr>
        <w:t xml:space="preserve"> objašnjavaju politike i kriterijume granta kao i daju detaljna uputstva u vezi sa procesom </w:t>
      </w:r>
      <w:r>
        <w:rPr>
          <w:rFonts w:cs="Calibri Light"/>
          <w:color w:val="0A2F41" w:themeColor="accent1" w:themeShade="80"/>
        </w:rPr>
        <w:t>procene</w:t>
      </w:r>
      <w:r w:rsidRPr="003A5EB8">
        <w:rPr>
          <w:rFonts w:cs="Calibri Light"/>
          <w:color w:val="0A2F41" w:themeColor="accent1" w:themeShade="80"/>
        </w:rPr>
        <w:t xml:space="preserve"> učinka.</w:t>
      </w:r>
    </w:p>
    <w:p w14:paraId="6F5ECF5D"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b/>
          <w:bCs/>
          <w:color w:val="0A2F41" w:themeColor="accent1" w:themeShade="80"/>
        </w:rPr>
        <w:t xml:space="preserve">Period </w:t>
      </w:r>
      <w:r>
        <w:rPr>
          <w:rFonts w:cs="Calibri Light"/>
          <w:b/>
          <w:bCs/>
          <w:color w:val="0A2F41" w:themeColor="accent1" w:themeShade="80"/>
        </w:rPr>
        <w:t>procene za G</w:t>
      </w:r>
      <w:r w:rsidRPr="003A5EB8">
        <w:rPr>
          <w:rFonts w:cs="Calibri Light"/>
          <w:b/>
          <w:bCs/>
          <w:color w:val="0A2F41" w:themeColor="accent1" w:themeShade="80"/>
        </w:rPr>
        <w:t>ranta opštinsk</w:t>
      </w:r>
      <w:r>
        <w:rPr>
          <w:rFonts w:cs="Calibri Light"/>
          <w:b/>
          <w:bCs/>
          <w:color w:val="0A2F41" w:themeColor="accent1" w:themeShade="80"/>
        </w:rPr>
        <w:t>og</w:t>
      </w:r>
      <w:r w:rsidRPr="003A5EB8">
        <w:rPr>
          <w:rFonts w:cs="Calibri Light"/>
          <w:b/>
          <w:bCs/>
          <w:color w:val="0A2F41" w:themeColor="accent1" w:themeShade="80"/>
        </w:rPr>
        <w:t xml:space="preserve"> učink</w:t>
      </w:r>
      <w:r>
        <w:rPr>
          <w:rFonts w:cs="Calibri Light"/>
          <w:b/>
          <w:bCs/>
          <w:color w:val="0A2F41" w:themeColor="accent1" w:themeShade="80"/>
        </w:rPr>
        <w:t>a</w:t>
      </w:r>
      <w:r w:rsidRPr="003A5EB8">
        <w:rPr>
          <w:rFonts w:cs="Calibri Light"/>
          <w:b/>
          <w:bCs/>
          <w:color w:val="0A2F41" w:themeColor="accent1" w:themeShade="80"/>
        </w:rPr>
        <w:t xml:space="preserve"> (</w:t>
      </w:r>
      <w:r>
        <w:rPr>
          <w:rFonts w:cs="Calibri Light"/>
          <w:b/>
          <w:bCs/>
          <w:color w:val="0A2F41" w:themeColor="accent1" w:themeShade="80"/>
        </w:rPr>
        <w:t>Ci</w:t>
      </w:r>
      <w:r w:rsidRPr="003A5EB8">
        <w:rPr>
          <w:rFonts w:cs="Calibri Light"/>
          <w:b/>
          <w:bCs/>
          <w:color w:val="0A2F41" w:themeColor="accent1" w:themeShade="80"/>
        </w:rPr>
        <w:t>klusi upravljanja granto</w:t>
      </w:r>
      <w:r>
        <w:rPr>
          <w:rFonts w:cs="Calibri Light"/>
          <w:b/>
          <w:bCs/>
          <w:color w:val="0A2F41" w:themeColor="accent1" w:themeShade="80"/>
        </w:rPr>
        <w:t>m</w:t>
      </w:r>
      <w:r w:rsidRPr="003A5EB8">
        <w:rPr>
          <w:rFonts w:cs="Calibri Light"/>
          <w:b/>
          <w:bCs/>
          <w:color w:val="0A2F41" w:themeColor="accent1" w:themeShade="80"/>
        </w:rPr>
        <w:t>)</w:t>
      </w:r>
      <w:r w:rsidRPr="003A5EB8">
        <w:rPr>
          <w:rFonts w:cs="Calibri Light"/>
          <w:color w:val="0A2F41" w:themeColor="accent1" w:themeShade="80"/>
        </w:rPr>
        <w:t xml:space="preserve"> </w:t>
      </w:r>
    </w:p>
    <w:p w14:paraId="23462277"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color w:val="0A2F41" w:themeColor="accent1" w:themeShade="80"/>
        </w:rPr>
        <w:t xml:space="preserve">Period </w:t>
      </w:r>
      <w:r>
        <w:rPr>
          <w:rFonts w:cs="Calibri Light"/>
          <w:color w:val="0A2F41" w:themeColor="accent1" w:themeShade="80"/>
        </w:rPr>
        <w:t>procene za</w:t>
      </w:r>
      <w:r w:rsidRPr="003A5EB8">
        <w:rPr>
          <w:rFonts w:cs="Calibri Light"/>
          <w:color w:val="0A2F41" w:themeColor="accent1" w:themeShade="80"/>
        </w:rPr>
        <w:t xml:space="preserve"> grant opštinsk</w:t>
      </w:r>
      <w:r>
        <w:rPr>
          <w:rFonts w:cs="Calibri Light"/>
          <w:color w:val="0A2F41" w:themeColor="accent1" w:themeShade="80"/>
        </w:rPr>
        <w:t>og učinka</w:t>
      </w:r>
      <w:r w:rsidRPr="003A5EB8">
        <w:rPr>
          <w:rFonts w:cs="Calibri Light"/>
          <w:color w:val="0A2F41" w:themeColor="accent1" w:themeShade="80"/>
        </w:rPr>
        <w:t xml:space="preserve"> podeljen je u 3 glavne faze:</w:t>
      </w:r>
    </w:p>
    <w:p w14:paraId="54A4F67D" w14:textId="05965D5D" w:rsidR="00B10745" w:rsidRPr="003A5EB8" w:rsidRDefault="00B10745" w:rsidP="00554C8D">
      <w:pPr>
        <w:numPr>
          <w:ilvl w:val="1"/>
          <w:numId w:val="5"/>
        </w:numPr>
        <w:spacing w:after="0" w:line="280" w:lineRule="atLeast"/>
        <w:ind w:left="993" w:hanging="284"/>
        <w:contextualSpacing/>
        <w:jc w:val="both"/>
        <w:rPr>
          <w:rFonts w:cs="Calibri Light"/>
          <w:color w:val="0A2F41" w:themeColor="accent1" w:themeShade="80"/>
        </w:rPr>
      </w:pPr>
      <w:r w:rsidRPr="003A5EB8">
        <w:rPr>
          <w:rFonts w:cs="Calibri Light"/>
          <w:color w:val="0A2F41" w:themeColor="accent1" w:themeShade="80"/>
        </w:rPr>
        <w:t xml:space="preserve">Period učinka – znači godina za koju se </w:t>
      </w:r>
      <w:r>
        <w:rPr>
          <w:rFonts w:cs="Calibri Light"/>
          <w:color w:val="0A2F41" w:themeColor="accent1" w:themeShade="80"/>
        </w:rPr>
        <w:t>pr</w:t>
      </w:r>
      <w:r w:rsidRPr="003A5EB8">
        <w:rPr>
          <w:rFonts w:cs="Calibri Light"/>
          <w:color w:val="0A2F41" w:themeColor="accent1" w:themeShade="80"/>
        </w:rPr>
        <w:t xml:space="preserve">ocenjuje učinak opštine . Na osnovu pravila </w:t>
      </w:r>
      <w:r>
        <w:rPr>
          <w:rFonts w:cs="Calibri Light"/>
          <w:color w:val="0A2F41" w:themeColor="accent1" w:themeShade="80"/>
        </w:rPr>
        <w:t>GOU</w:t>
      </w:r>
      <w:r w:rsidRPr="003A5EB8">
        <w:rPr>
          <w:rFonts w:cs="Calibri Light"/>
          <w:color w:val="0A2F41" w:themeColor="accent1" w:themeShade="80"/>
        </w:rPr>
        <w:t xml:space="preserve"> 2025, ocenjuje se učinak opštine za </w:t>
      </w:r>
      <w:r w:rsidR="00F41E1B">
        <w:rPr>
          <w:rFonts w:cs="Calibri Light"/>
          <w:color w:val="0A2F41" w:themeColor="accent1" w:themeShade="80"/>
        </w:rPr>
        <w:t>2024</w:t>
      </w:r>
      <w:r w:rsidRPr="003A5EB8">
        <w:rPr>
          <w:rFonts w:cs="Calibri Light"/>
          <w:color w:val="0A2F41" w:themeColor="accent1" w:themeShade="80"/>
        </w:rPr>
        <w:t>. godinu;</w:t>
      </w:r>
    </w:p>
    <w:p w14:paraId="5790E948" w14:textId="77777777" w:rsidR="00B10745" w:rsidRPr="003A5EB8" w:rsidRDefault="00B10745" w:rsidP="00554C8D">
      <w:pPr>
        <w:numPr>
          <w:ilvl w:val="1"/>
          <w:numId w:val="5"/>
        </w:numPr>
        <w:spacing w:after="0" w:line="280" w:lineRule="atLeast"/>
        <w:ind w:left="993" w:hanging="284"/>
        <w:contextualSpacing/>
        <w:jc w:val="both"/>
        <w:rPr>
          <w:rFonts w:cs="Calibri Light"/>
          <w:color w:val="0A2F41" w:themeColor="accent1" w:themeShade="80"/>
        </w:rPr>
      </w:pPr>
      <w:r w:rsidRPr="003A5EB8">
        <w:rPr>
          <w:rFonts w:cs="Calibri Light"/>
          <w:color w:val="0A2F41" w:themeColor="accent1" w:themeShade="80"/>
        </w:rPr>
        <w:t xml:space="preserve">Period evaluacije - označava period u kome se vrši evaluacija učinka za </w:t>
      </w:r>
      <w:r>
        <w:rPr>
          <w:rFonts w:cs="Calibri Light"/>
          <w:color w:val="0A2F41" w:themeColor="accent1" w:themeShade="80"/>
        </w:rPr>
        <w:t>GOU</w:t>
      </w:r>
      <w:r w:rsidRPr="003A5EB8">
        <w:rPr>
          <w:rFonts w:cs="Calibri Light"/>
          <w:color w:val="0A2F41" w:themeColor="accent1" w:themeShade="80"/>
        </w:rPr>
        <w:t>.</w:t>
      </w:r>
    </w:p>
    <w:p w14:paraId="6D52611F" w14:textId="77777777" w:rsidR="00B10745" w:rsidRPr="003A5EB8" w:rsidRDefault="00B10745" w:rsidP="00554C8D">
      <w:pPr>
        <w:numPr>
          <w:ilvl w:val="1"/>
          <w:numId w:val="5"/>
        </w:numPr>
        <w:spacing w:after="0" w:line="280" w:lineRule="atLeast"/>
        <w:ind w:left="993" w:hanging="284"/>
        <w:contextualSpacing/>
        <w:jc w:val="both"/>
        <w:rPr>
          <w:rFonts w:cs="Calibri Light"/>
          <w:color w:val="0A2F41" w:themeColor="accent1" w:themeShade="80"/>
        </w:rPr>
      </w:pPr>
      <w:r w:rsidRPr="003A5EB8">
        <w:rPr>
          <w:rFonts w:cs="Calibri Light"/>
          <w:color w:val="0A2F41" w:themeColor="accent1" w:themeShade="80"/>
        </w:rPr>
        <w:t>Period dodele i korišćenja granta - označava godinu u kojoj je grant stavljen na raspolaganje opštinama. Na osnovu ovih pravila, grant će biti dostupan opštinama 2025. godine.</w:t>
      </w:r>
    </w:p>
    <w:p w14:paraId="0C64C6AB" w14:textId="77777777" w:rsidR="00B10745" w:rsidRPr="003A5EB8" w:rsidRDefault="00B10745" w:rsidP="00554C8D">
      <w:pPr>
        <w:spacing w:before="60" w:after="0" w:line="264" w:lineRule="auto"/>
        <w:jc w:val="both"/>
        <w:rPr>
          <w:rFonts w:cs="Calibri Light"/>
          <w:color w:val="0A2F41" w:themeColor="accent1" w:themeShade="80"/>
        </w:rPr>
      </w:pPr>
    </w:p>
    <w:p w14:paraId="112650E3" w14:textId="77777777" w:rsidR="00B10745" w:rsidRPr="003A5EB8" w:rsidRDefault="00B10745" w:rsidP="00554C8D">
      <w:pPr>
        <w:spacing w:before="60" w:after="0" w:line="264" w:lineRule="auto"/>
        <w:jc w:val="both"/>
        <w:rPr>
          <w:rFonts w:cs="Calibri Light"/>
          <w:b/>
          <w:bCs/>
          <w:color w:val="0A2F41" w:themeColor="accent1" w:themeShade="80"/>
        </w:rPr>
      </w:pPr>
      <w:r>
        <w:rPr>
          <w:rFonts w:cs="Calibri Light"/>
          <w:b/>
          <w:bCs/>
          <w:color w:val="0A2F41" w:themeColor="accent1" w:themeShade="80"/>
        </w:rPr>
        <w:t xml:space="preserve">Minimalni uslovi i </w:t>
      </w:r>
      <w:r w:rsidRPr="003A5EB8">
        <w:rPr>
          <w:rFonts w:cs="Calibri Light"/>
          <w:b/>
          <w:bCs/>
          <w:color w:val="0A2F41" w:themeColor="accent1" w:themeShade="80"/>
        </w:rPr>
        <w:t>pokazatelji učinka</w:t>
      </w:r>
    </w:p>
    <w:p w14:paraId="05F9C1E0"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color w:val="0A2F41" w:themeColor="accent1" w:themeShade="80"/>
        </w:rPr>
        <w:t>Da bi se kvalifikovale za grant opštinsk</w:t>
      </w:r>
      <w:r>
        <w:rPr>
          <w:rFonts w:cs="Calibri Light"/>
          <w:color w:val="0A2F41" w:themeColor="accent1" w:themeShade="80"/>
        </w:rPr>
        <w:t xml:space="preserve">og </w:t>
      </w:r>
      <w:r w:rsidRPr="003A5EB8">
        <w:rPr>
          <w:rFonts w:cs="Calibri Light"/>
          <w:color w:val="0A2F41" w:themeColor="accent1" w:themeShade="80"/>
        </w:rPr>
        <w:t>učink</w:t>
      </w:r>
      <w:r>
        <w:rPr>
          <w:rFonts w:cs="Calibri Light"/>
          <w:color w:val="0A2F41" w:themeColor="accent1" w:themeShade="80"/>
        </w:rPr>
        <w:t>a</w:t>
      </w:r>
      <w:r w:rsidRPr="003A5EB8">
        <w:rPr>
          <w:rFonts w:cs="Calibri Light"/>
          <w:color w:val="0A2F41" w:themeColor="accent1" w:themeShade="80"/>
        </w:rPr>
        <w:t xml:space="preserve"> za 2025. godinu, opštine moraju da ispune 4 minimalna uslova za sledeće:</w:t>
      </w:r>
    </w:p>
    <w:p w14:paraId="598F64B2" w14:textId="77777777" w:rsidR="00B10745" w:rsidRPr="003A5EB8" w:rsidRDefault="00B10745" w:rsidP="00554C8D">
      <w:pPr>
        <w:numPr>
          <w:ilvl w:val="1"/>
          <w:numId w:val="4"/>
        </w:numPr>
        <w:spacing w:after="0" w:line="276" w:lineRule="auto"/>
        <w:rPr>
          <w:rFonts w:cs="Calibri Light"/>
          <w:color w:val="0A2F41" w:themeColor="accent1" w:themeShade="80"/>
        </w:rPr>
      </w:pPr>
      <w:r w:rsidRPr="003A5EB8">
        <w:rPr>
          <w:rFonts w:cs="Calibri Light"/>
          <w:color w:val="0A2F41" w:themeColor="accent1" w:themeShade="80"/>
        </w:rPr>
        <w:t xml:space="preserve">Opštine moraju da prijave podatke </w:t>
      </w:r>
      <w:r>
        <w:rPr>
          <w:rFonts w:cs="Calibri Light"/>
          <w:color w:val="0A2F41" w:themeColor="accent1" w:themeShade="80"/>
        </w:rPr>
        <w:t>SUOU</w:t>
      </w:r>
      <w:r w:rsidRPr="003A5EB8">
        <w:rPr>
          <w:rFonts w:cs="Calibri Light"/>
          <w:color w:val="0A2F41" w:themeColor="accent1" w:themeShade="80"/>
        </w:rPr>
        <w:t xml:space="preserve"> u skladu sa rokom definisanim u članu 19.2 Zakona o </w:t>
      </w:r>
      <w:r>
        <w:rPr>
          <w:rFonts w:cs="Calibri Light"/>
          <w:color w:val="0A2F41" w:themeColor="accent1" w:themeShade="80"/>
        </w:rPr>
        <w:t>SUOU</w:t>
      </w:r>
      <w:r w:rsidRPr="003A5EB8">
        <w:rPr>
          <w:rFonts w:cs="Calibri Light"/>
          <w:color w:val="0A2F41" w:themeColor="accent1" w:themeShade="80"/>
        </w:rPr>
        <w:t>/</w:t>
      </w:r>
      <w:r>
        <w:rPr>
          <w:rFonts w:cs="Calibri Light"/>
          <w:color w:val="0A2F41" w:themeColor="accent1" w:themeShade="80"/>
        </w:rPr>
        <w:t>GOU</w:t>
      </w:r>
      <w:r w:rsidRPr="003A5EB8">
        <w:rPr>
          <w:rFonts w:cs="Calibri Light"/>
          <w:color w:val="0A2F41" w:themeColor="accent1" w:themeShade="80"/>
        </w:rPr>
        <w:t xml:space="preserve"> </w:t>
      </w:r>
      <w:r w:rsidRPr="00D700E5">
        <w:rPr>
          <w:rFonts w:cs="Calibri Light"/>
          <w:color w:val="0A2F41" w:themeColor="accent1" w:themeShade="80"/>
          <w:vertAlign w:val="superscript"/>
        </w:rPr>
        <w:footnoteReference w:id="2"/>
      </w:r>
      <w:r w:rsidRPr="003A5EB8">
        <w:rPr>
          <w:rFonts w:cs="Calibri Light"/>
          <w:color w:val="0A2F41" w:themeColor="accent1" w:themeShade="80"/>
        </w:rPr>
        <w:t>;</w:t>
      </w:r>
    </w:p>
    <w:p w14:paraId="6D16F4F3" w14:textId="77777777" w:rsidR="00B10745" w:rsidRPr="003A5EB8" w:rsidRDefault="00B10745" w:rsidP="00554C8D">
      <w:pPr>
        <w:numPr>
          <w:ilvl w:val="1"/>
          <w:numId w:val="4"/>
        </w:numPr>
        <w:spacing w:after="0" w:line="276" w:lineRule="auto"/>
        <w:rPr>
          <w:rFonts w:cs="Calibri Light"/>
          <w:color w:val="0A2F41" w:themeColor="accent1" w:themeShade="80"/>
        </w:rPr>
      </w:pPr>
      <w:r w:rsidRPr="003A5EB8">
        <w:rPr>
          <w:rFonts w:cs="Calibri Light"/>
          <w:color w:val="0A2F41" w:themeColor="accent1" w:themeShade="80"/>
        </w:rPr>
        <w:t xml:space="preserve">Opštine moraju poštovati zakonsku obavezu da preispitaju opštinske akte koje je nadzorni </w:t>
      </w:r>
      <w:r>
        <w:rPr>
          <w:rFonts w:cs="Calibri Light"/>
          <w:color w:val="0A2F41" w:themeColor="accent1" w:themeShade="80"/>
        </w:rPr>
        <w:t>autoritet</w:t>
      </w:r>
      <w:r w:rsidRPr="003A5EB8">
        <w:rPr>
          <w:rFonts w:cs="Calibri Light"/>
          <w:color w:val="0A2F41" w:themeColor="accent1" w:themeShade="80"/>
        </w:rPr>
        <w:t xml:space="preserve"> </w:t>
      </w:r>
      <w:r>
        <w:rPr>
          <w:rFonts w:cs="Calibri Light"/>
          <w:color w:val="0A2F41" w:themeColor="accent1" w:themeShade="80"/>
        </w:rPr>
        <w:t>pr</w:t>
      </w:r>
      <w:r w:rsidRPr="003A5EB8">
        <w:rPr>
          <w:rFonts w:cs="Calibri Light"/>
          <w:color w:val="0A2F41" w:themeColor="accent1" w:themeShade="80"/>
        </w:rPr>
        <w:t xml:space="preserve">ocenio kao nezakonite </w:t>
      </w:r>
      <w:r w:rsidRPr="003A5EB8">
        <w:rPr>
          <w:rFonts w:cs="Calibri Light"/>
          <w:color w:val="0A2F41" w:themeColor="accent1" w:themeShade="80"/>
        </w:rPr>
        <w:footnoteReference w:id="3"/>
      </w:r>
      <w:r w:rsidRPr="003A5EB8">
        <w:rPr>
          <w:rFonts w:cs="Calibri Light"/>
          <w:color w:val="0A2F41" w:themeColor="accent1" w:themeShade="80"/>
        </w:rPr>
        <w:t>;</w:t>
      </w:r>
    </w:p>
    <w:p w14:paraId="24C00AE3" w14:textId="77777777" w:rsidR="00B10745" w:rsidRPr="003A5EB8" w:rsidRDefault="00B10745" w:rsidP="00554C8D">
      <w:pPr>
        <w:numPr>
          <w:ilvl w:val="1"/>
          <w:numId w:val="4"/>
        </w:numPr>
        <w:spacing w:after="0" w:line="264" w:lineRule="auto"/>
        <w:jc w:val="both"/>
        <w:rPr>
          <w:rFonts w:cs="Calibri Light"/>
          <w:color w:val="0A2F41" w:themeColor="accent1" w:themeShade="80"/>
        </w:rPr>
      </w:pPr>
      <w:r w:rsidRPr="003A5EB8">
        <w:rPr>
          <w:rFonts w:cs="Calibri Light"/>
          <w:color w:val="0A2F41" w:themeColor="accent1" w:themeShade="80"/>
        </w:rPr>
        <w:t xml:space="preserve">Revizorsko mišljenje mora biti najmanje nemodifikovano sa </w:t>
      </w:r>
      <w:r>
        <w:rPr>
          <w:rFonts w:cs="Calibri Light"/>
          <w:color w:val="0A2F41" w:themeColor="accent1" w:themeShade="80"/>
        </w:rPr>
        <w:t>naglaskom na</w:t>
      </w:r>
      <w:r w:rsidRPr="003A5EB8">
        <w:rPr>
          <w:rFonts w:cs="Calibri Light"/>
          <w:color w:val="0A2F41" w:themeColor="accent1" w:themeShade="80"/>
        </w:rPr>
        <w:t xml:space="preserve"> pitanj</w:t>
      </w:r>
      <w:r>
        <w:rPr>
          <w:rFonts w:cs="Calibri Light"/>
          <w:color w:val="0A2F41" w:themeColor="accent1" w:themeShade="80"/>
        </w:rPr>
        <w:t>e</w:t>
      </w:r>
      <w:r w:rsidRPr="003A5EB8">
        <w:rPr>
          <w:rFonts w:cs="Calibri Light"/>
          <w:color w:val="0A2F41" w:themeColor="accent1" w:themeShade="80"/>
        </w:rPr>
        <w:t xml:space="preserve">; </w:t>
      </w:r>
      <w:r>
        <w:rPr>
          <w:rFonts w:cs="Calibri Light"/>
          <w:color w:val="0A2F41" w:themeColor="accent1" w:themeShade="80"/>
        </w:rPr>
        <w:t>i</w:t>
      </w:r>
    </w:p>
    <w:p w14:paraId="766E5CA3" w14:textId="77777777" w:rsidR="00B10745" w:rsidRPr="003A5EB8" w:rsidRDefault="00B10745" w:rsidP="00554C8D">
      <w:pPr>
        <w:numPr>
          <w:ilvl w:val="1"/>
          <w:numId w:val="4"/>
        </w:numPr>
        <w:spacing w:before="60" w:after="0" w:line="264" w:lineRule="auto"/>
        <w:jc w:val="both"/>
        <w:rPr>
          <w:rFonts w:cs="Calibri Light"/>
          <w:color w:val="0A2F41" w:themeColor="accent1" w:themeShade="80"/>
        </w:rPr>
      </w:pPr>
      <w:r w:rsidRPr="003A5EB8">
        <w:rPr>
          <w:rFonts w:cs="Calibri Light"/>
          <w:color w:val="0A2F41" w:themeColor="accent1" w:themeShade="80"/>
        </w:rPr>
        <w:t xml:space="preserve">Opštine moraju potrošiti 75% ili više </w:t>
      </w:r>
      <w:r>
        <w:rPr>
          <w:rFonts w:cs="Calibri Light"/>
          <w:color w:val="0A2F41" w:themeColor="accent1" w:themeShade="80"/>
        </w:rPr>
        <w:t>konačnog</w:t>
      </w:r>
      <w:r w:rsidRPr="003A5EB8">
        <w:rPr>
          <w:rFonts w:cs="Calibri Light"/>
          <w:color w:val="0A2F41" w:themeColor="accent1" w:themeShade="80"/>
        </w:rPr>
        <w:t xml:space="preserve"> budžeta na kapitalne investicije</w:t>
      </w:r>
    </w:p>
    <w:p w14:paraId="02E4BF92" w14:textId="77777777" w:rsidR="00B10745" w:rsidRDefault="00B10745" w:rsidP="00554C8D">
      <w:pPr>
        <w:spacing w:before="60" w:after="0" w:line="264" w:lineRule="auto"/>
        <w:jc w:val="both"/>
        <w:rPr>
          <w:rFonts w:cs="Calibri Light"/>
          <w:color w:val="0A2F41" w:themeColor="accent1" w:themeShade="80"/>
        </w:rPr>
      </w:pPr>
    </w:p>
    <w:p w14:paraId="1C95FC50"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color w:val="0A2F41" w:themeColor="accent1" w:themeShade="80"/>
        </w:rPr>
        <w:t xml:space="preserve">Opštine koje nisu ispunile jedan od gore navedenih minimalnih uslova, neće moći da dobiju </w:t>
      </w:r>
      <w:r>
        <w:rPr>
          <w:rFonts w:cs="Calibri Light"/>
          <w:color w:val="0A2F41" w:themeColor="accent1" w:themeShade="80"/>
        </w:rPr>
        <w:t>grant opštinskog učinka</w:t>
      </w:r>
      <w:r w:rsidRPr="003A5EB8">
        <w:rPr>
          <w:rFonts w:cs="Calibri Light"/>
          <w:color w:val="0A2F41" w:themeColor="accent1" w:themeShade="80"/>
        </w:rPr>
        <w:t xml:space="preserve">, bez obzira na bodove u </w:t>
      </w:r>
      <w:r>
        <w:rPr>
          <w:rFonts w:cs="Calibri Light"/>
          <w:color w:val="0A2F41" w:themeColor="accent1" w:themeShade="80"/>
        </w:rPr>
        <w:t>pokazateljima</w:t>
      </w:r>
      <w:r w:rsidRPr="003A5EB8">
        <w:rPr>
          <w:rFonts w:cs="Calibri Light"/>
          <w:color w:val="0A2F41" w:themeColor="accent1" w:themeShade="80"/>
        </w:rPr>
        <w:t xml:space="preserve"> učinka.</w:t>
      </w:r>
    </w:p>
    <w:p w14:paraId="40FD4C5A" w14:textId="77777777" w:rsidR="00B10745" w:rsidRPr="003A5EB8" w:rsidRDefault="00B10745" w:rsidP="00554C8D">
      <w:pPr>
        <w:spacing w:before="20" w:after="0" w:line="264" w:lineRule="auto"/>
        <w:jc w:val="both"/>
        <w:rPr>
          <w:rFonts w:cs="Calibri Light"/>
          <w:color w:val="0A2F41" w:themeColor="accent1" w:themeShade="80"/>
        </w:rPr>
      </w:pPr>
      <w:r w:rsidRPr="003A5EB8">
        <w:rPr>
          <w:rFonts w:cs="Calibri Light"/>
          <w:color w:val="0A2F41" w:themeColor="accent1" w:themeShade="80"/>
        </w:rPr>
        <w:lastRenderedPageBreak/>
        <w:t xml:space="preserve">Različiti </w:t>
      </w:r>
      <w:r>
        <w:rPr>
          <w:rFonts w:cs="Calibri Light"/>
          <w:color w:val="0A2F41" w:themeColor="accent1" w:themeShade="80"/>
        </w:rPr>
        <w:t>pokazatelji</w:t>
      </w:r>
      <w:r w:rsidRPr="003A5EB8">
        <w:rPr>
          <w:rFonts w:cs="Calibri Light"/>
          <w:color w:val="0A2F41" w:themeColor="accent1" w:themeShade="80"/>
        </w:rPr>
        <w:t xml:space="preserve"> imaju različit broj </w:t>
      </w:r>
      <w:r>
        <w:rPr>
          <w:rFonts w:cs="Calibri Light"/>
          <w:color w:val="0A2F41" w:themeColor="accent1" w:themeShade="80"/>
        </w:rPr>
        <w:t>bodova</w:t>
      </w:r>
      <w:r w:rsidRPr="003A5EB8">
        <w:rPr>
          <w:rFonts w:cs="Calibri Light"/>
          <w:color w:val="0A2F41" w:themeColor="accent1" w:themeShade="80"/>
        </w:rPr>
        <w:t xml:space="preserve">, u zavisnosti od težine i značaja koji se pripisuje </w:t>
      </w:r>
      <w:r>
        <w:rPr>
          <w:rFonts w:cs="Calibri Light"/>
          <w:color w:val="0A2F41" w:themeColor="accent1" w:themeShade="80"/>
        </w:rPr>
        <w:t>pokazatelju</w:t>
      </w:r>
      <w:r w:rsidRPr="003A5EB8">
        <w:rPr>
          <w:rFonts w:cs="Calibri Light"/>
          <w:color w:val="0A2F41" w:themeColor="accent1" w:themeShade="80"/>
        </w:rPr>
        <w:t>. Dodatak 2 Pravila o grant</w:t>
      </w:r>
      <w:r>
        <w:rPr>
          <w:rFonts w:cs="Calibri Light"/>
          <w:color w:val="0A2F41" w:themeColor="accent1" w:themeShade="80"/>
        </w:rPr>
        <w:t xml:space="preserve">u </w:t>
      </w:r>
      <w:r w:rsidRPr="003A5EB8">
        <w:rPr>
          <w:rFonts w:cs="Calibri Light"/>
          <w:color w:val="0A2F41" w:themeColor="accent1" w:themeShade="80"/>
        </w:rPr>
        <w:t>opštin</w:t>
      </w:r>
      <w:r>
        <w:rPr>
          <w:rFonts w:cs="Calibri Light"/>
          <w:color w:val="0A2F41" w:themeColor="accent1" w:themeShade="80"/>
        </w:rPr>
        <w:t xml:space="preserve">skog učinka </w:t>
      </w:r>
      <w:r w:rsidRPr="003A5EB8">
        <w:rPr>
          <w:rFonts w:cs="Calibri Light"/>
          <w:color w:val="0A2F41" w:themeColor="accent1" w:themeShade="80"/>
        </w:rPr>
        <w:t xml:space="preserve">za 2025. godinu sadrži detaljna uputstva u vezi sa dodelom bodova u okviru maksimalnog broja </w:t>
      </w:r>
      <w:r>
        <w:rPr>
          <w:rFonts w:cs="Calibri Light"/>
          <w:color w:val="0A2F41" w:themeColor="accent1" w:themeShade="80"/>
        </w:rPr>
        <w:t>bodova</w:t>
      </w:r>
      <w:r w:rsidRPr="003A5EB8">
        <w:rPr>
          <w:rFonts w:cs="Calibri Light"/>
          <w:color w:val="0A2F41" w:themeColor="accent1" w:themeShade="80"/>
        </w:rPr>
        <w:t xml:space="preserve">. Bodovi su kalibrisani tako da se nagrađuju dobri i prihvatljivi nivoi učinka, ali da se za svaki </w:t>
      </w:r>
      <w:r>
        <w:rPr>
          <w:rFonts w:cs="Calibri Light"/>
          <w:color w:val="0A2F41" w:themeColor="accent1" w:themeShade="80"/>
        </w:rPr>
        <w:t>pokazatelj</w:t>
      </w:r>
      <w:r w:rsidRPr="003A5EB8">
        <w:rPr>
          <w:rFonts w:cs="Calibri Light"/>
          <w:color w:val="0A2F41" w:themeColor="accent1" w:themeShade="80"/>
        </w:rPr>
        <w:t xml:space="preserve"> dodeljuje vrlo malo </w:t>
      </w:r>
      <w:r>
        <w:rPr>
          <w:rFonts w:cs="Calibri Light"/>
          <w:color w:val="0A2F41" w:themeColor="accent1" w:themeShade="80"/>
        </w:rPr>
        <w:t>bodova</w:t>
      </w:r>
      <w:r w:rsidRPr="003A5EB8">
        <w:rPr>
          <w:rFonts w:cs="Calibri Light"/>
          <w:color w:val="0A2F41" w:themeColor="accent1" w:themeShade="80"/>
        </w:rPr>
        <w:t xml:space="preserve"> ili ih uopšte nema za sub</w:t>
      </w:r>
      <w:r>
        <w:rPr>
          <w:rFonts w:cs="Calibri Light"/>
          <w:color w:val="0A2F41" w:themeColor="accent1" w:themeShade="80"/>
        </w:rPr>
        <w:t>-</w:t>
      </w:r>
      <w:r w:rsidRPr="003A5EB8">
        <w:rPr>
          <w:rFonts w:cs="Calibri Light"/>
          <w:color w:val="0A2F41" w:themeColor="accent1" w:themeShade="80"/>
        </w:rPr>
        <w:t xml:space="preserve">optimalni učinak, što znači da bodovi zapravo podstiču visok učinak, a ne prosečni učinak. To takođe znači da će opštine koje imaju dobre rezultate u nizu </w:t>
      </w:r>
      <w:r>
        <w:rPr>
          <w:rFonts w:cs="Calibri Light"/>
          <w:color w:val="0A2F41" w:themeColor="accent1" w:themeShade="80"/>
        </w:rPr>
        <w:t xml:space="preserve">pokazatelja </w:t>
      </w:r>
      <w:r w:rsidRPr="003A5EB8">
        <w:rPr>
          <w:rFonts w:cs="Calibri Light"/>
          <w:color w:val="0A2F41" w:themeColor="accent1" w:themeShade="80"/>
        </w:rPr>
        <w:t xml:space="preserve">dobiti znatno više bodova od onih koje pokazuju </w:t>
      </w:r>
      <w:r>
        <w:rPr>
          <w:rFonts w:cs="Calibri Light"/>
          <w:color w:val="0A2F41" w:themeColor="accent1" w:themeShade="80"/>
        </w:rPr>
        <w:t>obični</w:t>
      </w:r>
      <w:r w:rsidRPr="003A5EB8">
        <w:rPr>
          <w:rFonts w:cs="Calibri Light"/>
          <w:color w:val="0A2F41" w:themeColor="accent1" w:themeShade="80"/>
        </w:rPr>
        <w:t xml:space="preserve"> učinak.</w:t>
      </w:r>
    </w:p>
    <w:p w14:paraId="5066E785" w14:textId="77777777" w:rsidR="00B10745" w:rsidRPr="003A5EB8" w:rsidRDefault="00B10745" w:rsidP="00554C8D">
      <w:pPr>
        <w:spacing w:before="20" w:after="0" w:line="264" w:lineRule="auto"/>
        <w:jc w:val="both"/>
        <w:rPr>
          <w:rFonts w:cs="Calibri Light"/>
          <w:color w:val="0A2F41" w:themeColor="accent1" w:themeShade="80"/>
        </w:rPr>
      </w:pPr>
      <w:r w:rsidRPr="003A5EB8">
        <w:rPr>
          <w:rFonts w:cs="Calibri Light"/>
          <w:color w:val="0A2F41" w:themeColor="accent1" w:themeShade="80"/>
        </w:rPr>
        <w:t xml:space="preserve">Za sve opštine koje su ispunile minimalne uslove, </w:t>
      </w:r>
      <w:r>
        <w:rPr>
          <w:rFonts w:cs="Calibri Light"/>
          <w:color w:val="0A2F41" w:themeColor="accent1" w:themeShade="80"/>
        </w:rPr>
        <w:t xml:space="preserve">grant opštinskog učinka </w:t>
      </w:r>
      <w:r w:rsidRPr="003A5EB8">
        <w:rPr>
          <w:rFonts w:cs="Calibri Light"/>
          <w:color w:val="0A2F41" w:themeColor="accent1" w:themeShade="80"/>
        </w:rPr>
        <w:t xml:space="preserve">koji svaka opština dobija zasniva se na njenim relativnim </w:t>
      </w:r>
      <w:r>
        <w:rPr>
          <w:rFonts w:cs="Calibri Light"/>
          <w:color w:val="0A2F41" w:themeColor="accent1" w:themeShade="80"/>
        </w:rPr>
        <w:t>bodovima</w:t>
      </w:r>
      <w:r w:rsidRPr="003A5EB8">
        <w:rPr>
          <w:rFonts w:cs="Calibri Light"/>
          <w:color w:val="0A2F41" w:themeColor="accent1" w:themeShade="80"/>
        </w:rPr>
        <w:t xml:space="preserve"> postignutim na osnovu 27 </w:t>
      </w:r>
      <w:r>
        <w:rPr>
          <w:rFonts w:cs="Calibri Light"/>
          <w:color w:val="0A2F41" w:themeColor="accent1" w:themeShade="80"/>
        </w:rPr>
        <w:t xml:space="preserve">pokazatelja </w:t>
      </w:r>
      <w:r w:rsidRPr="003A5EB8">
        <w:rPr>
          <w:rFonts w:cs="Calibri Light"/>
          <w:color w:val="0A2F41" w:themeColor="accent1" w:themeShade="80"/>
        </w:rPr>
        <w:t xml:space="preserve">učinka (njegove </w:t>
      </w:r>
      <w:r>
        <w:rPr>
          <w:rFonts w:cs="Calibri Light"/>
          <w:color w:val="0A2F41" w:themeColor="accent1" w:themeShade="80"/>
        </w:rPr>
        <w:t>bodove</w:t>
      </w:r>
      <w:r w:rsidRPr="003A5EB8">
        <w:rPr>
          <w:rFonts w:cs="Calibri Light"/>
          <w:color w:val="0A2F41" w:themeColor="accent1" w:themeShade="80"/>
        </w:rPr>
        <w:t xml:space="preserve"> u poređenju sa rezultatima svih drugih opština).</w:t>
      </w:r>
    </w:p>
    <w:p w14:paraId="16CCB675" w14:textId="77777777" w:rsidR="00B10745" w:rsidRPr="003A5EB8" w:rsidRDefault="00B10745" w:rsidP="00554C8D">
      <w:pPr>
        <w:spacing w:before="20" w:after="0" w:line="276" w:lineRule="auto"/>
        <w:jc w:val="both"/>
        <w:rPr>
          <w:rFonts w:cs="Calibri Light"/>
          <w:color w:val="0A2F41" w:themeColor="accent1" w:themeShade="80"/>
        </w:rPr>
      </w:pPr>
    </w:p>
    <w:p w14:paraId="46805183" w14:textId="77777777" w:rsidR="00B10745" w:rsidRPr="003A5EB8" w:rsidRDefault="00B10745" w:rsidP="00554C8D">
      <w:pPr>
        <w:spacing w:before="20" w:after="0" w:line="276" w:lineRule="auto"/>
        <w:jc w:val="both"/>
        <w:rPr>
          <w:rFonts w:cs="Calibri Light"/>
          <w:b/>
          <w:bCs/>
          <w:color w:val="0A2F41" w:themeColor="accent1" w:themeShade="80"/>
        </w:rPr>
      </w:pPr>
      <w:r w:rsidRPr="003A5EB8">
        <w:rPr>
          <w:rFonts w:cs="Calibri Light"/>
          <w:b/>
          <w:bCs/>
          <w:color w:val="0A2F41" w:themeColor="accent1" w:themeShade="80"/>
        </w:rPr>
        <w:t xml:space="preserve">Izvori podataka za procenu minimalnih uslova i </w:t>
      </w:r>
      <w:r>
        <w:rPr>
          <w:rFonts w:cs="Calibri Light"/>
          <w:b/>
          <w:bCs/>
          <w:color w:val="0A2F41" w:themeColor="accent1" w:themeShade="80"/>
        </w:rPr>
        <w:t xml:space="preserve">pokazatelja </w:t>
      </w:r>
      <w:r w:rsidRPr="003A5EB8">
        <w:rPr>
          <w:rFonts w:cs="Calibri Light"/>
          <w:b/>
          <w:bCs/>
          <w:color w:val="0A2F41" w:themeColor="accent1" w:themeShade="80"/>
        </w:rPr>
        <w:t>granta za opštinski učinak</w:t>
      </w:r>
    </w:p>
    <w:p w14:paraId="43C3F278" w14:textId="7F6A8E0F"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 xml:space="preserve">Podaci za procenu učinka za grant za 2025. godinu potiču iz sledećih izvora: i) Izveštaj sistema upravljanja učinkom opštine za </w:t>
      </w:r>
      <w:r w:rsidR="00F41E1B">
        <w:rPr>
          <w:rFonts w:cs="Calibri Light"/>
          <w:color w:val="0A2F41" w:themeColor="accent1" w:themeShade="80"/>
        </w:rPr>
        <w:t>2024</w:t>
      </w:r>
      <w:r w:rsidRPr="003A5EB8">
        <w:rPr>
          <w:rFonts w:cs="Calibri Light"/>
          <w:color w:val="0A2F41" w:themeColor="accent1" w:themeShade="80"/>
        </w:rPr>
        <w:t>. godinu (</w:t>
      </w:r>
      <w:r>
        <w:rPr>
          <w:rFonts w:cs="Calibri Light"/>
          <w:color w:val="0A2F41" w:themeColor="accent1" w:themeShade="80"/>
        </w:rPr>
        <w:t>SUOU</w:t>
      </w:r>
      <w:r w:rsidRPr="003A5EB8">
        <w:rPr>
          <w:rFonts w:cs="Calibri Light"/>
          <w:color w:val="0A2F41" w:themeColor="accent1" w:themeShade="80"/>
        </w:rPr>
        <w:t>) MAL</w:t>
      </w:r>
      <w:r>
        <w:rPr>
          <w:rFonts w:cs="Calibri Light"/>
          <w:color w:val="0A2F41" w:themeColor="accent1" w:themeShade="80"/>
        </w:rPr>
        <w:t>S</w:t>
      </w:r>
      <w:r w:rsidRPr="003A5EB8">
        <w:rPr>
          <w:rFonts w:cs="Calibri Light"/>
          <w:color w:val="0A2F41" w:themeColor="accent1" w:themeShade="80"/>
        </w:rPr>
        <w:t xml:space="preserve">; ii) Izveštaj o funkcionisanju opština Kosova za </w:t>
      </w:r>
      <w:r w:rsidR="00F41E1B">
        <w:rPr>
          <w:rFonts w:cs="Calibri Light"/>
          <w:color w:val="0A2F41" w:themeColor="accent1" w:themeShade="80"/>
        </w:rPr>
        <w:t>2024</w:t>
      </w:r>
      <w:r w:rsidRPr="003A5EB8">
        <w:rPr>
          <w:rFonts w:cs="Calibri Light"/>
          <w:color w:val="0A2F41" w:themeColor="accent1" w:themeShade="80"/>
        </w:rPr>
        <w:t xml:space="preserve">. godinu MALS-a i Izveštaj o proceni zakonitosti akata skupština opština </w:t>
      </w:r>
      <w:r w:rsidR="00F41E1B">
        <w:rPr>
          <w:rFonts w:cs="Calibri Light"/>
          <w:color w:val="0A2F41" w:themeColor="accent1" w:themeShade="80"/>
        </w:rPr>
        <w:t>2024</w:t>
      </w:r>
      <w:r w:rsidRPr="003A5EB8">
        <w:rPr>
          <w:rFonts w:cs="Calibri Light"/>
          <w:color w:val="0A2F41" w:themeColor="accent1" w:themeShade="80"/>
        </w:rPr>
        <w:t xml:space="preserve">. godine, iii) Godišnji izveštaji revizije regularnosti (finansijska i usklađenost) za svaku opštinu za fiskalnu </w:t>
      </w:r>
      <w:r w:rsidR="00F41E1B">
        <w:rPr>
          <w:rFonts w:cs="Calibri Light"/>
          <w:color w:val="0A2F41" w:themeColor="accent1" w:themeShade="80"/>
        </w:rPr>
        <w:t>2024</w:t>
      </w:r>
      <w:r w:rsidRPr="003A5EB8">
        <w:rPr>
          <w:rFonts w:cs="Calibri Light"/>
          <w:color w:val="0A2F41" w:themeColor="accent1" w:themeShade="80"/>
        </w:rPr>
        <w:t xml:space="preserve">. godinu objavila </w:t>
      </w:r>
      <w:r>
        <w:rPr>
          <w:rFonts w:cs="Calibri Light"/>
          <w:color w:val="0A2F41" w:themeColor="accent1" w:themeShade="80"/>
        </w:rPr>
        <w:t>Nacionalna kancelarija za reviziju</w:t>
      </w:r>
      <w:r w:rsidRPr="003A5EB8">
        <w:rPr>
          <w:rFonts w:cs="Calibri Light"/>
          <w:color w:val="0A2F41" w:themeColor="accent1" w:themeShade="80"/>
        </w:rPr>
        <w:t>.</w:t>
      </w:r>
    </w:p>
    <w:p w14:paraId="4F39C44D" w14:textId="77777777" w:rsidR="00B10745" w:rsidRPr="003A5EB8" w:rsidRDefault="00B10745" w:rsidP="00554C8D">
      <w:pPr>
        <w:spacing w:before="20" w:after="0" w:line="276" w:lineRule="auto"/>
        <w:jc w:val="both"/>
        <w:rPr>
          <w:rFonts w:cs="Calibri Light"/>
          <w:color w:val="0A2F41" w:themeColor="accent1" w:themeShade="80"/>
        </w:rPr>
      </w:pPr>
    </w:p>
    <w:p w14:paraId="762CAE96" w14:textId="77777777" w:rsidR="00B10745" w:rsidRPr="003A5EB8" w:rsidRDefault="00B10745" w:rsidP="00554C8D">
      <w:pPr>
        <w:spacing w:before="20" w:after="0" w:line="276" w:lineRule="auto"/>
        <w:jc w:val="both"/>
        <w:rPr>
          <w:rFonts w:cs="Calibri Light"/>
          <w:b/>
          <w:bCs/>
          <w:color w:val="0A2F41" w:themeColor="accent1" w:themeShade="80"/>
        </w:rPr>
      </w:pPr>
      <w:r w:rsidRPr="003A5EB8">
        <w:rPr>
          <w:rFonts w:cs="Calibri Light"/>
          <w:b/>
          <w:bCs/>
          <w:color w:val="0A2F41" w:themeColor="accent1" w:themeShade="80"/>
        </w:rPr>
        <w:t xml:space="preserve">Proces </w:t>
      </w:r>
      <w:r>
        <w:rPr>
          <w:rFonts w:cs="Calibri Light"/>
          <w:b/>
          <w:bCs/>
          <w:color w:val="0A2F41" w:themeColor="accent1" w:themeShade="80"/>
        </w:rPr>
        <w:t>procene</w:t>
      </w:r>
      <w:r w:rsidRPr="003A5EB8">
        <w:rPr>
          <w:rFonts w:cs="Calibri Light"/>
          <w:b/>
          <w:bCs/>
          <w:color w:val="0A2F41" w:themeColor="accent1" w:themeShade="80"/>
        </w:rPr>
        <w:t xml:space="preserve"> - Institucionalni aranžmani</w:t>
      </w:r>
    </w:p>
    <w:p w14:paraId="2B32B0EC" w14:textId="77777777" w:rsidR="00B10745" w:rsidRPr="003A5EB8" w:rsidRDefault="00B10745" w:rsidP="00554C8D">
      <w:pPr>
        <w:spacing w:before="20" w:after="0" w:line="276" w:lineRule="auto"/>
        <w:jc w:val="both"/>
        <w:rPr>
          <w:rFonts w:cs="Calibri Light"/>
          <w:color w:val="0A2F41" w:themeColor="accent1" w:themeShade="80"/>
        </w:rPr>
      </w:pPr>
      <w:r>
        <w:rPr>
          <w:rFonts w:cs="Calibri Light"/>
          <w:color w:val="0A2F41" w:themeColor="accent1" w:themeShade="80"/>
        </w:rPr>
        <w:t>Komisija</w:t>
      </w:r>
      <w:r w:rsidRPr="003A5EB8">
        <w:rPr>
          <w:rFonts w:cs="Calibri Light"/>
          <w:color w:val="0A2F41" w:themeColor="accent1" w:themeShade="80"/>
        </w:rPr>
        <w:t xml:space="preserve"> za grant</w:t>
      </w:r>
      <w:r>
        <w:rPr>
          <w:rFonts w:cs="Calibri Light"/>
          <w:color w:val="0A2F41" w:themeColor="accent1" w:themeShade="80"/>
        </w:rPr>
        <w:t xml:space="preserve"> opštinskog učinka </w:t>
      </w:r>
      <w:r w:rsidRPr="003A5EB8">
        <w:rPr>
          <w:rFonts w:cs="Calibri Light"/>
          <w:color w:val="0A2F41" w:themeColor="accent1" w:themeShade="80"/>
        </w:rPr>
        <w:t>(KG</w:t>
      </w:r>
      <w:r>
        <w:rPr>
          <w:rFonts w:cs="Calibri Light"/>
          <w:color w:val="0A2F41" w:themeColor="accent1" w:themeShade="80"/>
        </w:rPr>
        <w:t>OU</w:t>
      </w:r>
      <w:r w:rsidRPr="003A5EB8">
        <w:rPr>
          <w:rFonts w:cs="Calibri Light"/>
          <w:color w:val="0A2F41" w:themeColor="accent1" w:themeShade="80"/>
        </w:rPr>
        <w:t xml:space="preserve">) i tehnička grupa su tela odgovorna za procenu i dodelu granta za opštinski učinak . Komisija za žalbe razmatra i odlučuje o eventualnim </w:t>
      </w:r>
      <w:r>
        <w:rPr>
          <w:rFonts w:cs="Calibri Light"/>
          <w:color w:val="0A2F41" w:themeColor="accent1" w:themeShade="80"/>
        </w:rPr>
        <w:t>žalbama</w:t>
      </w:r>
      <w:r w:rsidRPr="003A5EB8">
        <w:rPr>
          <w:rFonts w:cs="Calibri Light"/>
          <w:color w:val="0A2F41" w:themeColor="accent1" w:themeShade="80"/>
        </w:rPr>
        <w:t xml:space="preserve"> opština. Komisija za žalbe ne razmatra žalbe koje se odnose na izvor podataka koji su korišćeni tokom </w:t>
      </w:r>
      <w:r>
        <w:rPr>
          <w:rFonts w:cs="Calibri Light"/>
          <w:color w:val="0A2F41" w:themeColor="accent1" w:themeShade="80"/>
        </w:rPr>
        <w:t>procene</w:t>
      </w:r>
      <w:r w:rsidRPr="003A5EB8">
        <w:rPr>
          <w:rFonts w:cs="Calibri Light"/>
          <w:color w:val="0A2F41" w:themeColor="accent1" w:themeShade="80"/>
        </w:rPr>
        <w:t xml:space="preserve"> učinka zbog činjenice da je ovaj proces iscrpljen u prvoj fazi </w:t>
      </w:r>
      <w:r>
        <w:rPr>
          <w:rFonts w:cs="Calibri Light"/>
          <w:color w:val="0A2F41" w:themeColor="accent1" w:themeShade="80"/>
        </w:rPr>
        <w:t>procene</w:t>
      </w:r>
      <w:r w:rsidRPr="003A5EB8">
        <w:rPr>
          <w:rFonts w:cs="Calibri Light"/>
          <w:color w:val="0A2F41" w:themeColor="accent1" w:themeShade="80"/>
        </w:rPr>
        <w:t xml:space="preserve"> kada su podaci odobreni kao konačni i strankama je na raspolaganju žalbeni instrument.</w:t>
      </w:r>
    </w:p>
    <w:p w14:paraId="52BA0E19" w14:textId="77777777" w:rsidR="00B10745" w:rsidRPr="003A5EB8" w:rsidRDefault="00B10745" w:rsidP="00554C8D">
      <w:pPr>
        <w:spacing w:before="20" w:after="0" w:line="276" w:lineRule="auto"/>
        <w:jc w:val="both"/>
        <w:rPr>
          <w:rFonts w:cs="Calibri Light"/>
          <w:color w:val="0A2F41" w:themeColor="accent1" w:themeShade="80"/>
        </w:rPr>
      </w:pPr>
      <w:r>
        <w:rPr>
          <w:rFonts w:cs="Calibri Light"/>
          <w:color w:val="0A2F41" w:themeColor="accent1" w:themeShade="80"/>
        </w:rPr>
        <w:t>KGOU</w:t>
      </w:r>
      <w:r w:rsidRPr="003A5EB8">
        <w:rPr>
          <w:rFonts w:cs="Calibri Light"/>
          <w:color w:val="0A2F41" w:themeColor="accent1" w:themeShade="80"/>
        </w:rPr>
        <w:t xml:space="preserve"> je najviši organ za donošenje odluka o grantu. Ova komisija preuzima konačnu odgovornost za dodelu granta. Glavna funkcija </w:t>
      </w:r>
      <w:r>
        <w:rPr>
          <w:rFonts w:cs="Calibri Light"/>
          <w:color w:val="0A2F41" w:themeColor="accent1" w:themeShade="80"/>
        </w:rPr>
        <w:t>KGOU</w:t>
      </w:r>
      <w:r w:rsidRPr="003A5EB8">
        <w:rPr>
          <w:rFonts w:cs="Calibri Light"/>
          <w:color w:val="0A2F41" w:themeColor="accent1" w:themeShade="80"/>
        </w:rPr>
        <w:t xml:space="preserve">-a je da obezbedi da se </w:t>
      </w:r>
      <w:r>
        <w:rPr>
          <w:rFonts w:cs="Calibri Light"/>
          <w:color w:val="0A2F41" w:themeColor="accent1" w:themeShade="80"/>
        </w:rPr>
        <w:t>procena</w:t>
      </w:r>
      <w:r w:rsidRPr="003A5EB8">
        <w:rPr>
          <w:rFonts w:cs="Calibri Light"/>
          <w:color w:val="0A2F41" w:themeColor="accent1" w:themeShade="80"/>
        </w:rPr>
        <w:t xml:space="preserve"> vrši u skladu sa kriterijumima i pravilima granta opštinskog učink</w:t>
      </w:r>
      <w:r>
        <w:rPr>
          <w:rFonts w:cs="Calibri Light"/>
          <w:color w:val="0A2F41" w:themeColor="accent1" w:themeShade="80"/>
        </w:rPr>
        <w:t>a</w:t>
      </w:r>
      <w:r w:rsidRPr="003A5EB8">
        <w:rPr>
          <w:rFonts w:cs="Calibri Light"/>
          <w:color w:val="0A2F41" w:themeColor="accent1" w:themeShade="80"/>
        </w:rPr>
        <w:t>. K</w:t>
      </w:r>
      <w:r>
        <w:rPr>
          <w:rFonts w:cs="Calibri Light"/>
          <w:color w:val="0A2F41" w:themeColor="accent1" w:themeShade="80"/>
        </w:rPr>
        <w:t>GOU</w:t>
      </w:r>
      <w:r w:rsidRPr="003A5EB8">
        <w:rPr>
          <w:rFonts w:cs="Calibri Light"/>
          <w:color w:val="0A2F41" w:themeColor="accent1" w:themeShade="80"/>
        </w:rPr>
        <w:t xml:space="preserve"> ne može da menja rezultate </w:t>
      </w:r>
      <w:r>
        <w:rPr>
          <w:rFonts w:cs="Calibri Light"/>
          <w:color w:val="0A2F41" w:themeColor="accent1" w:themeShade="80"/>
        </w:rPr>
        <w:t>procene</w:t>
      </w:r>
      <w:r w:rsidRPr="003A5EB8">
        <w:rPr>
          <w:rFonts w:cs="Calibri Light"/>
          <w:color w:val="0A2F41" w:themeColor="accent1" w:themeShade="80"/>
        </w:rPr>
        <w:t xml:space="preserve"> i iznose granta bez pune primene procesa </w:t>
      </w:r>
      <w:r>
        <w:rPr>
          <w:rFonts w:cs="Calibri Light"/>
          <w:color w:val="0A2F41" w:themeColor="accent1" w:themeShade="80"/>
        </w:rPr>
        <w:t>procene</w:t>
      </w:r>
      <w:r w:rsidRPr="003A5EB8">
        <w:rPr>
          <w:rFonts w:cs="Calibri Light"/>
          <w:color w:val="0A2F41" w:themeColor="accent1" w:themeShade="80"/>
        </w:rPr>
        <w:t xml:space="preserve"> u skladu sa pravilima granta.</w:t>
      </w:r>
    </w:p>
    <w:p w14:paraId="46BBB00B" w14:textId="77777777" w:rsidR="00B10745" w:rsidRPr="003A5EB8" w:rsidRDefault="00B10745" w:rsidP="00554C8D">
      <w:pPr>
        <w:spacing w:before="20" w:after="0" w:line="276" w:lineRule="auto"/>
        <w:jc w:val="both"/>
        <w:rPr>
          <w:rFonts w:cs="Calibri Light"/>
          <w:color w:val="0A2F41" w:themeColor="accent1" w:themeShade="80"/>
        </w:rPr>
      </w:pPr>
    </w:p>
    <w:p w14:paraId="295D8378" w14:textId="77777777" w:rsidR="00B10745" w:rsidRPr="003A5EB8" w:rsidRDefault="00B10745" w:rsidP="00554C8D">
      <w:pPr>
        <w:spacing w:before="20" w:after="0" w:line="276" w:lineRule="auto"/>
        <w:jc w:val="both"/>
        <w:rPr>
          <w:rFonts w:cs="Calibri Light"/>
          <w:color w:val="0A2F41" w:themeColor="accent1" w:themeShade="80"/>
        </w:rPr>
      </w:pPr>
      <w:r>
        <w:rPr>
          <w:rFonts w:cs="Calibri Light"/>
          <w:b/>
          <w:bCs/>
          <w:color w:val="0A2F41" w:themeColor="accent1" w:themeShade="80"/>
        </w:rPr>
        <w:t xml:space="preserve">Komisija za grant opštinskog učinka </w:t>
      </w:r>
      <w:r w:rsidRPr="003A5EB8">
        <w:rPr>
          <w:rFonts w:cs="Calibri Light"/>
          <w:color w:val="0A2F41" w:themeColor="accent1" w:themeShade="80"/>
        </w:rPr>
        <w:t>sastoji se od:</w:t>
      </w:r>
    </w:p>
    <w:p w14:paraId="03895489" w14:textId="77777777"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1 član iz MALS-a (</w:t>
      </w:r>
      <w:r>
        <w:rPr>
          <w:rFonts w:cs="Calibri Light"/>
          <w:color w:val="0A2F41" w:themeColor="accent1" w:themeShade="80"/>
        </w:rPr>
        <w:t>G</w:t>
      </w:r>
      <w:r w:rsidRPr="003A5EB8">
        <w:rPr>
          <w:rFonts w:cs="Calibri Light"/>
          <w:color w:val="0A2F41" w:themeColor="accent1" w:themeShade="80"/>
        </w:rPr>
        <w:t>eneralni sekretar/</w:t>
      </w:r>
      <w:r>
        <w:rPr>
          <w:rFonts w:cs="Calibri Light"/>
          <w:color w:val="0A2F41" w:themeColor="accent1" w:themeShade="80"/>
        </w:rPr>
        <w:t>P</w:t>
      </w:r>
      <w:r w:rsidRPr="003A5EB8">
        <w:rPr>
          <w:rFonts w:cs="Calibri Light"/>
          <w:color w:val="0A2F41" w:themeColor="accent1" w:themeShade="80"/>
        </w:rPr>
        <w:t>redsedavajući),</w:t>
      </w:r>
    </w:p>
    <w:p w14:paraId="467CB940" w14:textId="77777777"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 xml:space="preserve">1 član - javni </w:t>
      </w:r>
      <w:r>
        <w:rPr>
          <w:rFonts w:cs="Calibri Light"/>
          <w:color w:val="0A2F41" w:themeColor="accent1" w:themeShade="80"/>
        </w:rPr>
        <w:t>službenik</w:t>
      </w:r>
      <w:r w:rsidRPr="003A5EB8">
        <w:rPr>
          <w:rFonts w:cs="Calibri Light"/>
          <w:color w:val="0A2F41" w:themeColor="accent1" w:themeShade="80"/>
        </w:rPr>
        <w:t xml:space="preserve"> nivoa rukovodstva ministarstva,</w:t>
      </w:r>
    </w:p>
    <w:p w14:paraId="39DBAFE8" w14:textId="77777777"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 xml:space="preserve">1 član - javni </w:t>
      </w:r>
      <w:r>
        <w:rPr>
          <w:rFonts w:cs="Calibri Light"/>
          <w:color w:val="0A2F41" w:themeColor="accent1" w:themeShade="80"/>
        </w:rPr>
        <w:t>službenik</w:t>
      </w:r>
      <w:r w:rsidRPr="003A5EB8">
        <w:rPr>
          <w:rFonts w:cs="Calibri Light"/>
          <w:color w:val="0A2F41" w:themeColor="accent1" w:themeShade="80"/>
        </w:rPr>
        <w:t xml:space="preserve"> iz ministarstva nadležnog za poslove finansija,</w:t>
      </w:r>
    </w:p>
    <w:p w14:paraId="3BF82116" w14:textId="77777777"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1 posmatrač iz Evropske unije na Kosovu,</w:t>
      </w:r>
      <w:r>
        <w:rPr>
          <w:rFonts w:cs="Calibri Light"/>
          <w:color w:val="0A2F41" w:themeColor="accent1" w:themeShade="80"/>
        </w:rPr>
        <w:t xml:space="preserve"> </w:t>
      </w:r>
    </w:p>
    <w:p w14:paraId="391A1F9C" w14:textId="77777777" w:rsidR="00B10745" w:rsidRPr="003A5EB8"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1 posmatrač iz Švedske,</w:t>
      </w:r>
    </w:p>
    <w:p w14:paraId="3A3B7C9D" w14:textId="77777777" w:rsidR="00B10745" w:rsidRDefault="00B10745" w:rsidP="00554C8D">
      <w:pPr>
        <w:spacing w:before="20" w:after="0" w:line="276" w:lineRule="auto"/>
        <w:jc w:val="both"/>
        <w:rPr>
          <w:rFonts w:cs="Calibri Light"/>
          <w:color w:val="0A2F41" w:themeColor="accent1" w:themeShade="80"/>
        </w:rPr>
      </w:pPr>
      <w:r w:rsidRPr="003A5EB8">
        <w:rPr>
          <w:rFonts w:cs="Calibri Light"/>
          <w:color w:val="0A2F41" w:themeColor="accent1" w:themeShade="80"/>
        </w:rPr>
        <w:t>1 posmatrač iz Švajcarske i posmatrači iz civilnog društva.</w:t>
      </w:r>
    </w:p>
    <w:p w14:paraId="17285DD1" w14:textId="77777777" w:rsidR="00B10745" w:rsidRPr="003A5EB8" w:rsidRDefault="00B10745" w:rsidP="00554C8D">
      <w:pPr>
        <w:spacing w:before="20" w:after="0" w:line="276" w:lineRule="auto"/>
        <w:jc w:val="both"/>
        <w:rPr>
          <w:rFonts w:cs="Calibri Light"/>
          <w:color w:val="0A2F41" w:themeColor="accent1" w:themeShade="80"/>
        </w:rPr>
      </w:pPr>
    </w:p>
    <w:p w14:paraId="02A3D90C" w14:textId="77777777" w:rsidR="00B10745" w:rsidRPr="003A5EB8" w:rsidRDefault="00B10745" w:rsidP="00554C8D">
      <w:pPr>
        <w:spacing w:after="0" w:line="276" w:lineRule="auto"/>
        <w:jc w:val="both"/>
        <w:rPr>
          <w:rFonts w:cs="Calibri Light"/>
          <w:color w:val="0A2F41" w:themeColor="accent1" w:themeShade="80"/>
        </w:rPr>
      </w:pPr>
      <w:r w:rsidRPr="003A5EB8">
        <w:rPr>
          <w:rFonts w:cs="Calibri Light"/>
          <w:b/>
          <w:bCs/>
          <w:color w:val="0A2F41" w:themeColor="accent1" w:themeShade="80"/>
        </w:rPr>
        <w:t xml:space="preserve">Tehnička grupa </w:t>
      </w:r>
      <w:r w:rsidRPr="003A5EB8">
        <w:rPr>
          <w:rFonts w:cs="Calibri Light"/>
          <w:color w:val="0A2F41" w:themeColor="accent1" w:themeShade="80"/>
        </w:rPr>
        <w:t>se sastoji od 5 članova:</w:t>
      </w:r>
    </w:p>
    <w:p w14:paraId="62CA44B9" w14:textId="77777777" w:rsidR="00B10745" w:rsidRPr="003A5EB8" w:rsidRDefault="00B10745" w:rsidP="00554C8D">
      <w:pPr>
        <w:numPr>
          <w:ilvl w:val="0"/>
          <w:numId w:val="6"/>
        </w:numPr>
        <w:spacing w:after="0" w:line="276" w:lineRule="auto"/>
        <w:contextualSpacing/>
        <w:jc w:val="both"/>
        <w:rPr>
          <w:rFonts w:cs="Calibri Light"/>
          <w:color w:val="0A2F41" w:themeColor="accent1" w:themeShade="80"/>
        </w:rPr>
      </w:pPr>
      <w:r w:rsidRPr="003A5EB8">
        <w:rPr>
          <w:rFonts w:cs="Calibri Light"/>
          <w:color w:val="0A2F41" w:themeColor="accent1" w:themeShade="80"/>
        </w:rPr>
        <w:t>Četiri (4) člana iz Ministarstva, zaposleni u jedinici odgovornoj za rad opštine ili drugim organizacionim jedinicama;</w:t>
      </w:r>
    </w:p>
    <w:p w14:paraId="04BB633A" w14:textId="77777777" w:rsidR="00B10745" w:rsidRPr="003A5EB8" w:rsidRDefault="00B10745" w:rsidP="00554C8D">
      <w:pPr>
        <w:numPr>
          <w:ilvl w:val="0"/>
          <w:numId w:val="6"/>
        </w:numPr>
        <w:spacing w:after="0" w:line="276" w:lineRule="auto"/>
        <w:contextualSpacing/>
        <w:jc w:val="both"/>
        <w:rPr>
          <w:rFonts w:cs="Calibri Light"/>
          <w:color w:val="0A2F41" w:themeColor="accent1" w:themeShade="80"/>
        </w:rPr>
      </w:pPr>
      <w:r w:rsidRPr="003A5EB8">
        <w:rPr>
          <w:rFonts w:cs="Calibri Light"/>
          <w:color w:val="0A2F41" w:themeColor="accent1" w:themeShade="80"/>
        </w:rPr>
        <w:t>Jedan (1) član koji predstavlja subjekte koji doprinose;</w:t>
      </w:r>
    </w:p>
    <w:p w14:paraId="23DA4F69" w14:textId="77777777" w:rsidR="00B10745" w:rsidRPr="003A5EB8" w:rsidRDefault="00B10745" w:rsidP="00554C8D">
      <w:pPr>
        <w:numPr>
          <w:ilvl w:val="0"/>
          <w:numId w:val="6"/>
        </w:numPr>
        <w:spacing w:after="0" w:line="276" w:lineRule="auto"/>
        <w:contextualSpacing/>
        <w:jc w:val="both"/>
        <w:rPr>
          <w:rFonts w:cs="Calibri Light"/>
          <w:color w:val="0A2F41" w:themeColor="accent1" w:themeShade="80"/>
        </w:rPr>
      </w:pPr>
      <w:r>
        <w:rPr>
          <w:rFonts w:cs="Calibri Light"/>
          <w:color w:val="0A2F41" w:themeColor="accent1" w:themeShade="80"/>
        </w:rPr>
        <w:t>P</w:t>
      </w:r>
      <w:r w:rsidRPr="003A5EB8">
        <w:rPr>
          <w:rFonts w:cs="Calibri Light"/>
          <w:color w:val="0A2F41" w:themeColor="accent1" w:themeShade="80"/>
        </w:rPr>
        <w:t>redstavnici civilnog društva</w:t>
      </w:r>
      <w:r>
        <w:rPr>
          <w:rFonts w:cs="Calibri Light"/>
          <w:color w:val="0A2F41" w:themeColor="accent1" w:themeShade="80"/>
        </w:rPr>
        <w:t xml:space="preserve"> pozivaju se</w:t>
      </w:r>
      <w:r w:rsidRPr="003A5EB8">
        <w:rPr>
          <w:rFonts w:cs="Calibri Light"/>
          <w:color w:val="0A2F41" w:themeColor="accent1" w:themeShade="80"/>
        </w:rPr>
        <w:t xml:space="preserve"> da učestvuju u radu radne grupe kao posmatrači.</w:t>
      </w:r>
    </w:p>
    <w:p w14:paraId="0925307C" w14:textId="77777777" w:rsidR="00B10745" w:rsidRDefault="00B10745" w:rsidP="00554C8D">
      <w:pPr>
        <w:tabs>
          <w:tab w:val="left" w:pos="1710"/>
        </w:tabs>
        <w:spacing w:before="20" w:after="0" w:line="276" w:lineRule="auto"/>
        <w:jc w:val="both"/>
        <w:rPr>
          <w:rFonts w:cs="Calibri Light"/>
          <w:b/>
          <w:bCs/>
          <w:color w:val="0A2F41" w:themeColor="accent1" w:themeShade="80"/>
        </w:rPr>
      </w:pPr>
    </w:p>
    <w:p w14:paraId="72C1C781" w14:textId="77777777" w:rsidR="00B10745" w:rsidRPr="003A5EB8" w:rsidRDefault="00B10745" w:rsidP="00554C8D">
      <w:pPr>
        <w:tabs>
          <w:tab w:val="left" w:pos="1710"/>
        </w:tabs>
        <w:spacing w:before="20" w:after="0" w:line="276" w:lineRule="auto"/>
        <w:jc w:val="both"/>
        <w:rPr>
          <w:rFonts w:cs="Calibri Light"/>
          <w:color w:val="0A2F41" w:themeColor="accent1" w:themeShade="80"/>
        </w:rPr>
      </w:pPr>
      <w:r w:rsidRPr="003A5EB8">
        <w:rPr>
          <w:rFonts w:cs="Calibri Light"/>
          <w:b/>
          <w:bCs/>
          <w:color w:val="0A2F41" w:themeColor="accent1" w:themeShade="80"/>
        </w:rPr>
        <w:t xml:space="preserve">Komisija za žalbe </w:t>
      </w:r>
      <w:r w:rsidRPr="003A5EB8">
        <w:rPr>
          <w:rFonts w:cs="Calibri Light"/>
          <w:color w:val="0A2F41" w:themeColor="accent1" w:themeShade="80"/>
        </w:rPr>
        <w:t>se sastoji od 3 člana:</w:t>
      </w:r>
    </w:p>
    <w:p w14:paraId="0F0FA47D" w14:textId="77777777" w:rsidR="00B10745" w:rsidRPr="003A5EB8" w:rsidRDefault="00B10745" w:rsidP="00554C8D">
      <w:pPr>
        <w:numPr>
          <w:ilvl w:val="1"/>
          <w:numId w:val="3"/>
        </w:numPr>
        <w:tabs>
          <w:tab w:val="left" w:pos="1710"/>
        </w:tabs>
        <w:spacing w:before="20" w:after="0" w:line="276" w:lineRule="auto"/>
        <w:ind w:left="839" w:hanging="272"/>
        <w:jc w:val="both"/>
        <w:rPr>
          <w:rFonts w:cs="Calibri Light"/>
          <w:color w:val="0A2F41" w:themeColor="accent1" w:themeShade="80"/>
        </w:rPr>
      </w:pPr>
      <w:r w:rsidRPr="003A5EB8">
        <w:rPr>
          <w:rFonts w:cs="Calibri Light"/>
          <w:color w:val="0A2F41" w:themeColor="accent1" w:themeShade="80"/>
        </w:rPr>
        <w:lastRenderedPageBreak/>
        <w:t>2 predstavnika MAL</w:t>
      </w:r>
      <w:r>
        <w:rPr>
          <w:rFonts w:cs="Calibri Light"/>
          <w:color w:val="0A2F41" w:themeColor="accent1" w:themeShade="80"/>
        </w:rPr>
        <w:t>S</w:t>
      </w:r>
      <w:r w:rsidRPr="003A5EB8">
        <w:rPr>
          <w:rFonts w:cs="Calibri Light"/>
          <w:color w:val="0A2F41" w:themeColor="accent1" w:themeShade="80"/>
        </w:rPr>
        <w:t xml:space="preserve"> (jedan od njih predsed</w:t>
      </w:r>
      <w:r>
        <w:rPr>
          <w:rFonts w:cs="Calibri Light"/>
          <w:color w:val="0A2F41" w:themeColor="accent1" w:themeShade="80"/>
        </w:rPr>
        <w:t>avajući</w:t>
      </w:r>
      <w:r w:rsidRPr="003A5EB8">
        <w:rPr>
          <w:rFonts w:cs="Calibri Light"/>
          <w:color w:val="0A2F41" w:themeColor="accent1" w:themeShade="80"/>
        </w:rPr>
        <w:t>);</w:t>
      </w:r>
    </w:p>
    <w:p w14:paraId="6626165E" w14:textId="77777777" w:rsidR="00B10745" w:rsidRPr="003A5EB8" w:rsidRDefault="00B10745" w:rsidP="00554C8D">
      <w:pPr>
        <w:numPr>
          <w:ilvl w:val="1"/>
          <w:numId w:val="3"/>
        </w:numPr>
        <w:tabs>
          <w:tab w:val="left" w:pos="1710"/>
        </w:tabs>
        <w:spacing w:before="20" w:after="0" w:line="276" w:lineRule="auto"/>
        <w:ind w:left="839" w:hanging="272"/>
        <w:jc w:val="both"/>
        <w:rPr>
          <w:rFonts w:cs="Calibri Light"/>
          <w:color w:val="0A2F41" w:themeColor="accent1" w:themeShade="80"/>
        </w:rPr>
      </w:pPr>
      <w:r w:rsidRPr="003A5EB8">
        <w:rPr>
          <w:rFonts w:cs="Calibri Light"/>
          <w:color w:val="0A2F41" w:themeColor="accent1" w:themeShade="80"/>
        </w:rPr>
        <w:t>1 spoljni predstavnik;</w:t>
      </w:r>
    </w:p>
    <w:p w14:paraId="5E34EE83" w14:textId="77777777" w:rsidR="00B10745" w:rsidRPr="003A5EB8" w:rsidRDefault="00B10745" w:rsidP="00554C8D">
      <w:pPr>
        <w:numPr>
          <w:ilvl w:val="1"/>
          <w:numId w:val="3"/>
        </w:numPr>
        <w:tabs>
          <w:tab w:val="left" w:pos="1710"/>
        </w:tabs>
        <w:spacing w:before="20" w:after="0" w:line="276" w:lineRule="auto"/>
        <w:ind w:left="839" w:hanging="272"/>
        <w:jc w:val="both"/>
        <w:rPr>
          <w:rFonts w:cs="Calibri Light"/>
          <w:color w:val="0A2F41" w:themeColor="accent1" w:themeShade="80"/>
        </w:rPr>
      </w:pPr>
      <w:r w:rsidRPr="003A5EB8">
        <w:rPr>
          <w:rFonts w:cs="Calibri Light"/>
          <w:color w:val="0A2F41" w:themeColor="accent1" w:themeShade="80"/>
        </w:rPr>
        <w:t>2 DEMOS posmatrača</w:t>
      </w:r>
    </w:p>
    <w:p w14:paraId="2FAEF3AE" w14:textId="77777777" w:rsidR="00B10745" w:rsidRPr="003A5EB8" w:rsidRDefault="00B10745" w:rsidP="00554C8D">
      <w:pPr>
        <w:tabs>
          <w:tab w:val="left" w:pos="1710"/>
        </w:tabs>
        <w:spacing w:before="20" w:after="0" w:line="276" w:lineRule="auto"/>
        <w:jc w:val="both"/>
        <w:rPr>
          <w:rFonts w:cs="Calibri Light"/>
          <w:color w:val="0A2F41" w:themeColor="accent1" w:themeShade="80"/>
        </w:rPr>
      </w:pPr>
      <w:r w:rsidRPr="003A5EB8">
        <w:rPr>
          <w:rFonts w:cs="Calibri Light"/>
          <w:color w:val="0A2F41" w:themeColor="accent1" w:themeShade="80"/>
        </w:rPr>
        <w:t xml:space="preserve">Članovi komisije za grant ili tehničke grupe ne mogu takođe biti članovi žalbene komisije u prvom periodu </w:t>
      </w:r>
      <w:r>
        <w:rPr>
          <w:rFonts w:cs="Calibri Light"/>
          <w:color w:val="0A2F41" w:themeColor="accent1" w:themeShade="80"/>
        </w:rPr>
        <w:t>procene</w:t>
      </w:r>
      <w:r w:rsidRPr="003A5EB8">
        <w:rPr>
          <w:rFonts w:cs="Calibri Light"/>
          <w:color w:val="0A2F41" w:themeColor="accent1" w:themeShade="80"/>
        </w:rPr>
        <w:t>.</w:t>
      </w:r>
    </w:p>
    <w:p w14:paraId="65C716C0" w14:textId="77777777" w:rsidR="00B10745" w:rsidRPr="003A5EB8" w:rsidRDefault="00B10745" w:rsidP="00554C8D">
      <w:pPr>
        <w:tabs>
          <w:tab w:val="left" w:pos="1710"/>
        </w:tabs>
        <w:spacing w:before="80" w:after="0" w:line="276" w:lineRule="auto"/>
        <w:jc w:val="both"/>
        <w:rPr>
          <w:rFonts w:cs="Calibri Light"/>
          <w:color w:val="0A2F41" w:themeColor="accent1" w:themeShade="80"/>
        </w:rPr>
      </w:pPr>
      <w:r w:rsidRPr="003A5EB8">
        <w:rPr>
          <w:rFonts w:cs="Calibri Light"/>
          <w:color w:val="0A2F41" w:themeColor="accent1" w:themeShade="80"/>
        </w:rPr>
        <w:t xml:space="preserve">Detaljni projektni zadaci za </w:t>
      </w:r>
      <w:r>
        <w:rPr>
          <w:rFonts w:cs="Calibri Light"/>
          <w:color w:val="0A2F41" w:themeColor="accent1" w:themeShade="80"/>
        </w:rPr>
        <w:t>T</w:t>
      </w:r>
      <w:r w:rsidRPr="003A5EB8">
        <w:rPr>
          <w:rFonts w:cs="Calibri Light"/>
          <w:color w:val="0A2F41" w:themeColor="accent1" w:themeShade="80"/>
        </w:rPr>
        <w:t xml:space="preserve">ehničku grupu, </w:t>
      </w:r>
      <w:r>
        <w:rPr>
          <w:rFonts w:cs="Calibri Light"/>
          <w:color w:val="0A2F41" w:themeColor="accent1" w:themeShade="80"/>
        </w:rPr>
        <w:t>K</w:t>
      </w:r>
      <w:r w:rsidRPr="003A5EB8">
        <w:rPr>
          <w:rFonts w:cs="Calibri Light"/>
          <w:color w:val="0A2F41" w:themeColor="accent1" w:themeShade="80"/>
        </w:rPr>
        <w:t xml:space="preserve">omisiju </w:t>
      </w:r>
      <w:r>
        <w:rPr>
          <w:rFonts w:cs="Calibri Light"/>
          <w:color w:val="0A2F41" w:themeColor="accent1" w:themeShade="80"/>
        </w:rPr>
        <w:t xml:space="preserve">granta opštinskog učinka i Komisije za </w:t>
      </w:r>
      <w:r w:rsidRPr="003A5EB8">
        <w:rPr>
          <w:rFonts w:cs="Calibri Light"/>
          <w:color w:val="0A2F41" w:themeColor="accent1" w:themeShade="80"/>
        </w:rPr>
        <w:t>žalbe su dati u dodacima 5 , 6 i 7 Pravila o grantovima opština za fiskalnu 2025. godinu</w:t>
      </w:r>
      <w:bookmarkStart w:id="58" w:name="_Toc520364307"/>
      <w:r w:rsidRPr="003A5EB8">
        <w:rPr>
          <w:rFonts w:cs="Calibri Light"/>
          <w:color w:val="0A2F41" w:themeColor="accent1" w:themeShade="80"/>
        </w:rPr>
        <w:t>.</w:t>
      </w:r>
    </w:p>
    <w:bookmarkEnd w:id="58"/>
    <w:p w14:paraId="21C0BAF7" w14:textId="77777777" w:rsidR="00B10745" w:rsidRPr="003A5EB8" w:rsidRDefault="00B10745" w:rsidP="00554C8D">
      <w:pPr>
        <w:spacing w:before="60" w:after="0" w:line="264" w:lineRule="auto"/>
        <w:jc w:val="both"/>
        <w:rPr>
          <w:rFonts w:cs="Calibri Light"/>
          <w:b/>
          <w:bCs/>
          <w:color w:val="0A2F41" w:themeColor="accent1" w:themeShade="80"/>
        </w:rPr>
      </w:pPr>
      <w:r w:rsidRPr="003A5EB8">
        <w:rPr>
          <w:rFonts w:cs="Calibri Light"/>
          <w:b/>
          <w:bCs/>
          <w:color w:val="0A2F41" w:themeColor="accent1" w:themeShade="80"/>
        </w:rPr>
        <w:t xml:space="preserve">Procedure </w:t>
      </w:r>
      <w:r>
        <w:rPr>
          <w:rFonts w:cs="Calibri Light"/>
          <w:b/>
          <w:bCs/>
          <w:color w:val="0A2F41" w:themeColor="accent1" w:themeShade="80"/>
        </w:rPr>
        <w:t>procene</w:t>
      </w:r>
      <w:r w:rsidRPr="003A5EB8">
        <w:rPr>
          <w:rFonts w:cs="Calibri Light"/>
          <w:b/>
          <w:bCs/>
          <w:color w:val="0A2F41" w:themeColor="accent1" w:themeShade="80"/>
        </w:rPr>
        <w:t xml:space="preserve">, pripreme, procedure </w:t>
      </w:r>
      <w:r>
        <w:rPr>
          <w:rFonts w:cs="Calibri Light"/>
          <w:b/>
          <w:bCs/>
          <w:color w:val="0A2F41" w:themeColor="accent1" w:themeShade="80"/>
        </w:rPr>
        <w:t>procene</w:t>
      </w:r>
    </w:p>
    <w:p w14:paraId="79D148D4" w14:textId="77777777" w:rsidR="00B10745" w:rsidRPr="003A5EB8" w:rsidRDefault="00B10745" w:rsidP="00554C8D">
      <w:pPr>
        <w:spacing w:before="60" w:after="0" w:line="264" w:lineRule="auto"/>
        <w:jc w:val="both"/>
        <w:rPr>
          <w:rFonts w:cs="Calibri Light"/>
          <w:color w:val="0A2F41" w:themeColor="accent1" w:themeShade="80"/>
        </w:rPr>
      </w:pPr>
      <w:r w:rsidRPr="003A5EB8">
        <w:rPr>
          <w:rFonts w:cs="Calibri Light"/>
          <w:color w:val="0A2F41" w:themeColor="accent1" w:themeShade="80"/>
        </w:rPr>
        <w:t xml:space="preserve">Tehnička grupa je pripremila Pravila </w:t>
      </w:r>
      <w:r>
        <w:rPr>
          <w:rFonts w:cs="Calibri Light"/>
          <w:color w:val="0A2F41" w:themeColor="accent1" w:themeShade="80"/>
        </w:rPr>
        <w:t>GOU-a</w:t>
      </w:r>
      <w:r w:rsidRPr="003A5EB8">
        <w:rPr>
          <w:rFonts w:cs="Calibri Light"/>
          <w:color w:val="0A2F41" w:themeColor="accent1" w:themeShade="80"/>
        </w:rPr>
        <w:t xml:space="preserve"> za </w:t>
      </w:r>
      <w:r>
        <w:rPr>
          <w:rFonts w:cs="Calibri Light"/>
          <w:color w:val="0A2F41" w:themeColor="accent1" w:themeShade="80"/>
        </w:rPr>
        <w:t xml:space="preserve">VF </w:t>
      </w:r>
      <w:r w:rsidRPr="003A5EB8">
        <w:rPr>
          <w:rFonts w:cs="Calibri Light"/>
          <w:color w:val="0A2F41" w:themeColor="accent1" w:themeShade="80"/>
        </w:rPr>
        <w:t xml:space="preserve">2025. Pravila za </w:t>
      </w:r>
      <w:r>
        <w:rPr>
          <w:rFonts w:cs="Calibri Light"/>
          <w:color w:val="0A2F41" w:themeColor="accent1" w:themeShade="80"/>
        </w:rPr>
        <w:t>VF</w:t>
      </w:r>
      <w:r w:rsidRPr="003A5EB8">
        <w:rPr>
          <w:rFonts w:cs="Calibri Light"/>
          <w:color w:val="0A2F41" w:themeColor="accent1" w:themeShade="80"/>
        </w:rPr>
        <w:t xml:space="preserve"> 2025 su odobrena od strane MALS-a i saradnika i onda su objavljena.</w:t>
      </w:r>
    </w:p>
    <w:p w14:paraId="6CE3E892" w14:textId="77777777" w:rsidR="00B10745" w:rsidRDefault="00B10745" w:rsidP="00554C8D">
      <w:pPr>
        <w:spacing w:before="60" w:after="0" w:line="276" w:lineRule="auto"/>
        <w:jc w:val="both"/>
        <w:rPr>
          <w:rFonts w:cs="Calibri Light"/>
          <w:b/>
          <w:bCs/>
          <w:color w:val="0A2F41" w:themeColor="accent1" w:themeShade="80"/>
        </w:rPr>
      </w:pPr>
    </w:p>
    <w:p w14:paraId="7E5E171B" w14:textId="77777777" w:rsidR="00B10745" w:rsidRPr="003A5EB8" w:rsidRDefault="00B10745" w:rsidP="00554C8D">
      <w:pPr>
        <w:spacing w:before="60" w:after="0" w:line="276" w:lineRule="auto"/>
        <w:jc w:val="both"/>
        <w:rPr>
          <w:rFonts w:cs="Calibri Light"/>
          <w:b/>
          <w:bCs/>
          <w:color w:val="0A2F41" w:themeColor="accent1" w:themeShade="80"/>
        </w:rPr>
      </w:pPr>
      <w:r w:rsidRPr="003A5EB8">
        <w:rPr>
          <w:rFonts w:cs="Calibri Light"/>
          <w:b/>
          <w:bCs/>
          <w:color w:val="0A2F41" w:themeColor="accent1" w:themeShade="80"/>
        </w:rPr>
        <w:t xml:space="preserve">Prikupljanje i </w:t>
      </w:r>
      <w:r>
        <w:rPr>
          <w:rFonts w:cs="Calibri Light"/>
          <w:b/>
          <w:bCs/>
          <w:color w:val="0A2F41" w:themeColor="accent1" w:themeShade="80"/>
        </w:rPr>
        <w:t>procena</w:t>
      </w:r>
      <w:r w:rsidRPr="003A5EB8">
        <w:rPr>
          <w:rFonts w:cs="Calibri Light"/>
          <w:b/>
          <w:bCs/>
          <w:color w:val="0A2F41" w:themeColor="accent1" w:themeShade="80"/>
        </w:rPr>
        <w:t xml:space="preserve"> podataka</w:t>
      </w:r>
    </w:p>
    <w:p w14:paraId="7AA96090" w14:textId="77777777" w:rsidR="00B10745" w:rsidRPr="003A5EB8" w:rsidRDefault="00B10745" w:rsidP="00554C8D">
      <w:pPr>
        <w:spacing w:before="60" w:after="0" w:line="276" w:lineRule="auto"/>
        <w:jc w:val="both"/>
        <w:rPr>
          <w:rFonts w:cs="Calibri Light"/>
          <w:color w:val="0A2F41" w:themeColor="accent1" w:themeShade="80"/>
        </w:rPr>
      </w:pPr>
      <w:r>
        <w:rPr>
          <w:rFonts w:cs="Calibri Light"/>
          <w:color w:val="0A2F41" w:themeColor="accent1" w:themeShade="80"/>
        </w:rPr>
        <w:t>Procena</w:t>
      </w:r>
      <w:r w:rsidRPr="003A5EB8">
        <w:rPr>
          <w:rFonts w:cs="Calibri Light"/>
          <w:color w:val="0A2F41" w:themeColor="accent1" w:themeShade="80"/>
        </w:rPr>
        <w:t xml:space="preserve"> granta učinka za fiskalnu 2025. godinu sprovedena je kroz modul </w:t>
      </w:r>
      <w:r>
        <w:rPr>
          <w:rFonts w:cs="Calibri Light"/>
          <w:color w:val="0A2F41" w:themeColor="accent1" w:themeShade="80"/>
        </w:rPr>
        <w:t>Granta u</w:t>
      </w:r>
      <w:r w:rsidRPr="003A5EB8">
        <w:rPr>
          <w:rFonts w:cs="Calibri Light"/>
          <w:color w:val="0A2F41" w:themeColor="accent1" w:themeShade="80"/>
        </w:rPr>
        <w:t xml:space="preserve"> </w:t>
      </w:r>
      <w:r>
        <w:rPr>
          <w:rFonts w:cs="Calibri Light"/>
          <w:color w:val="0A2F41" w:themeColor="accent1" w:themeShade="80"/>
        </w:rPr>
        <w:t>E</w:t>
      </w:r>
      <w:r w:rsidRPr="003A5EB8">
        <w:rPr>
          <w:rFonts w:cs="Calibri Light"/>
          <w:color w:val="0A2F41" w:themeColor="accent1" w:themeShade="80"/>
        </w:rPr>
        <w:t>lektronskom sistemu za upravljanje opštin</w:t>
      </w:r>
      <w:r>
        <w:rPr>
          <w:rFonts w:cs="Calibri Light"/>
          <w:color w:val="0A2F41" w:themeColor="accent1" w:themeShade="80"/>
        </w:rPr>
        <w:t xml:space="preserve">skim </w:t>
      </w:r>
      <w:r w:rsidRPr="003A5EB8">
        <w:rPr>
          <w:rFonts w:cs="Calibri Light"/>
          <w:color w:val="0A2F41" w:themeColor="accent1" w:themeShade="80"/>
        </w:rPr>
        <w:t>učinkom.</w:t>
      </w:r>
    </w:p>
    <w:p w14:paraId="4EEA7AF5" w14:textId="77777777" w:rsidR="00B10745" w:rsidRPr="003A5EB8" w:rsidRDefault="00B10745" w:rsidP="00554C8D">
      <w:pPr>
        <w:spacing w:before="60" w:after="0" w:line="276" w:lineRule="auto"/>
        <w:jc w:val="both"/>
        <w:rPr>
          <w:rFonts w:cs="Calibri Light"/>
          <w:color w:val="0A2F41" w:themeColor="accent1" w:themeShade="80"/>
        </w:rPr>
      </w:pPr>
      <w:r w:rsidRPr="003A5EB8">
        <w:rPr>
          <w:rFonts w:cs="Calibri Light"/>
          <w:color w:val="0A2F41" w:themeColor="accent1" w:themeShade="80"/>
        </w:rPr>
        <w:t xml:space="preserve">Tehnička grupa je prikupila podatke za minimalne uslove i kompletirala podatke </w:t>
      </w:r>
      <w:r>
        <w:rPr>
          <w:rFonts w:cs="Calibri Light"/>
          <w:color w:val="0A2F41" w:themeColor="accent1" w:themeShade="80"/>
        </w:rPr>
        <w:t>O</w:t>
      </w:r>
      <w:r w:rsidRPr="003A5EB8">
        <w:rPr>
          <w:rFonts w:cs="Calibri Light"/>
          <w:color w:val="0A2F41" w:themeColor="accent1" w:themeShade="80"/>
        </w:rPr>
        <w:t>pšteg granta za svaku opštinu prema budžetskom cirkularu 2025/01. Ova grupa je takođe vršila kontrolu kvaliteta podataka prenetih u izveštaje i bazu podataka.</w:t>
      </w:r>
    </w:p>
    <w:p w14:paraId="6A6058D5" w14:textId="63AA6BA2" w:rsidR="0006116B" w:rsidRPr="00FF3BB3" w:rsidRDefault="0006116B" w:rsidP="00B10745">
      <w:pPr>
        <w:rPr>
          <w:rFonts w:cs="Calibri Light"/>
          <w:color w:val="0A2F41" w:themeColor="accent1" w:themeShade="80"/>
          <w:lang w:val="sr-Latn-RS"/>
        </w:rPr>
      </w:pPr>
    </w:p>
    <w:sectPr w:rsidR="0006116B" w:rsidRPr="00FF3BB3" w:rsidSect="00B107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4CA9" w14:textId="77777777" w:rsidR="00971530" w:rsidRDefault="00971530" w:rsidP="00DE2133">
      <w:pPr>
        <w:spacing w:after="0" w:line="240" w:lineRule="auto"/>
      </w:pPr>
      <w:r>
        <w:separator/>
      </w:r>
    </w:p>
  </w:endnote>
  <w:endnote w:type="continuationSeparator" w:id="0">
    <w:p w14:paraId="708FED3D" w14:textId="77777777" w:rsidR="00971530" w:rsidRDefault="00971530" w:rsidP="00DE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Display">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Univers Light">
    <w:altName w:val="Arial"/>
    <w:charset w:val="00"/>
    <w:family w:val="swiss"/>
    <w:pitch w:val="variable"/>
    <w:sig w:usb0="00000001"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204543"/>
      <w:docPartObj>
        <w:docPartGallery w:val="Page Numbers (Bottom of Page)"/>
        <w:docPartUnique/>
      </w:docPartObj>
    </w:sdtPr>
    <w:sdtEndPr>
      <w:rPr>
        <w:noProof/>
      </w:rPr>
    </w:sdtEndPr>
    <w:sdtContent>
      <w:p w14:paraId="479E2F08" w14:textId="057479D0" w:rsidR="00816331" w:rsidRDefault="00816331">
        <w:pPr>
          <w:pStyle w:val="Footer"/>
          <w:jc w:val="center"/>
        </w:pPr>
        <w:r>
          <w:fldChar w:fldCharType="begin"/>
        </w:r>
        <w:r>
          <w:instrText xml:space="preserve"> PAGE   \* MERGEFORMAT </w:instrText>
        </w:r>
        <w:r>
          <w:fldChar w:fldCharType="separate"/>
        </w:r>
        <w:r w:rsidR="00DB6B1D">
          <w:rPr>
            <w:noProof/>
          </w:rPr>
          <w:t>1</w:t>
        </w:r>
        <w:r>
          <w:rPr>
            <w:noProof/>
          </w:rPr>
          <w:fldChar w:fldCharType="end"/>
        </w:r>
      </w:p>
    </w:sdtContent>
  </w:sdt>
  <w:p w14:paraId="1A7F22BF" w14:textId="77777777" w:rsidR="00816331" w:rsidRDefault="0081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DBDF" w14:textId="77777777" w:rsidR="00971530" w:rsidRDefault="00971530" w:rsidP="00DE2133">
      <w:pPr>
        <w:spacing w:after="0" w:line="240" w:lineRule="auto"/>
      </w:pPr>
      <w:r>
        <w:separator/>
      </w:r>
    </w:p>
  </w:footnote>
  <w:footnote w:type="continuationSeparator" w:id="0">
    <w:p w14:paraId="51B802D5" w14:textId="77777777" w:rsidR="00971530" w:rsidRDefault="00971530" w:rsidP="00DE2133">
      <w:pPr>
        <w:spacing w:after="0" w:line="240" w:lineRule="auto"/>
      </w:pPr>
      <w:r>
        <w:continuationSeparator/>
      </w:r>
    </w:p>
  </w:footnote>
  <w:footnote w:id="1">
    <w:p w14:paraId="1CC951BA" w14:textId="23B60368" w:rsidR="00816331" w:rsidRPr="0043548F" w:rsidRDefault="00816331" w:rsidP="00E0036D">
      <w:pPr>
        <w:pStyle w:val="FootnoteText"/>
        <w:rPr>
          <w:rFonts w:asciiTheme="majorHAnsi" w:hAnsiTheme="majorHAnsi" w:cstheme="majorHAnsi"/>
          <w:sz w:val="18"/>
          <w:szCs w:val="18"/>
        </w:rPr>
      </w:pPr>
      <w:r w:rsidRPr="0043548F">
        <w:rPr>
          <w:rStyle w:val="FootnoteReference"/>
          <w:rFonts w:asciiTheme="majorHAnsi" w:hAnsiTheme="majorHAnsi" w:cstheme="majorHAnsi"/>
          <w:sz w:val="16"/>
          <w:szCs w:val="16"/>
        </w:rPr>
        <w:footnoteRef/>
      </w:r>
      <w:r w:rsidRPr="0043548F">
        <w:rPr>
          <w:rFonts w:asciiTheme="majorHAnsi" w:hAnsiTheme="majorHAnsi" w:cstheme="majorHAnsi"/>
          <w:sz w:val="16"/>
          <w:szCs w:val="16"/>
        </w:rPr>
        <w:t xml:space="preserve">Opštine koje nisu </w:t>
      </w:r>
      <w:r>
        <w:rPr>
          <w:rFonts w:asciiTheme="majorHAnsi" w:hAnsiTheme="majorHAnsi" w:cstheme="majorHAnsi"/>
          <w:sz w:val="16"/>
          <w:szCs w:val="16"/>
        </w:rPr>
        <w:t>izvestile</w:t>
      </w:r>
      <w:r w:rsidRPr="0043548F">
        <w:rPr>
          <w:rFonts w:asciiTheme="majorHAnsi" w:hAnsiTheme="majorHAnsi" w:cstheme="majorHAnsi"/>
          <w:sz w:val="16"/>
          <w:szCs w:val="16"/>
        </w:rPr>
        <w:t xml:space="preserve"> su Leposavić, Novo Brdo, Zubin Potok, Zvečan</w:t>
      </w:r>
    </w:p>
  </w:footnote>
  <w:footnote w:id="2">
    <w:p w14:paraId="4E7DFD82" w14:textId="77777777" w:rsidR="00816331" w:rsidRPr="003A5C75" w:rsidRDefault="00816331" w:rsidP="00B10745">
      <w:pPr>
        <w:pStyle w:val="FootnoteText"/>
        <w:rPr>
          <w:rFonts w:ascii="Calibri Light" w:hAnsi="Calibri Light" w:cs="Calibri Light"/>
          <w:sz w:val="16"/>
          <w:szCs w:val="16"/>
          <w:lang w:val="en-US"/>
        </w:rPr>
      </w:pPr>
      <w:r w:rsidRPr="003A5C75">
        <w:rPr>
          <w:rStyle w:val="FootnoteReference"/>
          <w:rFonts w:ascii="Calibri Light" w:hAnsi="Calibri Light" w:cs="Calibri Light"/>
          <w:sz w:val="16"/>
          <w:szCs w:val="16"/>
        </w:rPr>
        <w:footnoteRef/>
      </w:r>
      <w:r w:rsidRPr="003A5C75">
        <w:rPr>
          <w:rFonts w:ascii="Calibri Light" w:hAnsi="Calibri Light" w:cs="Calibri Light"/>
          <w:sz w:val="16"/>
          <w:szCs w:val="16"/>
        </w:rPr>
        <w:t>Rok za prijavu podataka o učinku od opštine je 45 kalendarskih dana od momenta prijema zahteva za izveštavanje od ministarstva.</w:t>
      </w:r>
    </w:p>
  </w:footnote>
  <w:footnote w:id="3">
    <w:p w14:paraId="52733479" w14:textId="77777777" w:rsidR="00816331" w:rsidRPr="003A5C75" w:rsidRDefault="00816331" w:rsidP="00B10745">
      <w:pPr>
        <w:pStyle w:val="FootnoteText"/>
        <w:rPr>
          <w:rFonts w:ascii="Calibri Light" w:hAnsi="Calibri Light" w:cs="Calibri Light"/>
          <w:lang w:val="en-GB"/>
        </w:rPr>
      </w:pPr>
      <w:r w:rsidRPr="003A5C75">
        <w:rPr>
          <w:rStyle w:val="FootnoteReference"/>
          <w:rFonts w:ascii="Calibri Light" w:hAnsi="Calibri Light" w:cs="Calibri Light"/>
          <w:sz w:val="16"/>
          <w:szCs w:val="16"/>
        </w:rPr>
        <w:footnoteRef/>
      </w:r>
      <w:r w:rsidRPr="003A5C75">
        <w:rPr>
          <w:rFonts w:ascii="Calibri Light" w:hAnsi="Calibri Light" w:cs="Calibri Light"/>
          <w:sz w:val="16"/>
          <w:szCs w:val="16"/>
        </w:rPr>
        <w:t xml:space="preserve">Preispitivanje za potrebe </w:t>
      </w:r>
      <w:r>
        <w:rPr>
          <w:rFonts w:ascii="Calibri Light" w:hAnsi="Calibri Light" w:cs="Calibri Light"/>
          <w:sz w:val="16"/>
          <w:szCs w:val="16"/>
        </w:rPr>
        <w:t>GOU</w:t>
      </w:r>
      <w:r w:rsidRPr="003A5C75">
        <w:rPr>
          <w:rFonts w:ascii="Calibri Light" w:hAnsi="Calibri Light" w:cs="Calibri Light"/>
          <w:sz w:val="16"/>
          <w:szCs w:val="16"/>
        </w:rPr>
        <w:t xml:space="preserve"> je proceduralni kriterijum, koji podrazumeva obavezu opštine da u Skupštini opštine preispita akte koje je nadzorni </w:t>
      </w:r>
      <w:r>
        <w:rPr>
          <w:rFonts w:ascii="Calibri Light" w:hAnsi="Calibri Light" w:cs="Calibri Light"/>
          <w:sz w:val="16"/>
          <w:szCs w:val="16"/>
        </w:rPr>
        <w:t>autoritet</w:t>
      </w:r>
      <w:r w:rsidRPr="003A5C75">
        <w:rPr>
          <w:rFonts w:ascii="Calibri Light" w:hAnsi="Calibri Light" w:cs="Calibri Light"/>
          <w:sz w:val="16"/>
          <w:szCs w:val="16"/>
        </w:rPr>
        <w:t xml:space="preserve"> 2022. godine ocenio nezakonitim, bez pretpostavke konačnog sadržaja preispitivanja.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0878" w14:textId="77777777" w:rsidR="00816331" w:rsidRPr="008F28FF" w:rsidRDefault="00816331" w:rsidP="00FF3BB3">
    <w:pPr>
      <w:spacing w:after="0" w:line="240" w:lineRule="auto"/>
      <w:jc w:val="center"/>
      <w:rPr>
        <w:rFonts w:ascii="Times New Roman" w:eastAsia="Times New Roman" w:hAnsi="Times New Roman" w:cs="Times New Roman"/>
        <w:sz w:val="24"/>
        <w:szCs w:val="24"/>
        <w:lang w:val="de-DE"/>
      </w:rPr>
    </w:pPr>
    <w:r w:rsidRPr="008F28FF">
      <w:rPr>
        <w:rFonts w:ascii="Calibri" w:eastAsia="Times New Roman" w:hAnsi="Calibri" w:cs="Times New Roman"/>
        <w:b/>
        <w:noProof/>
        <w:sz w:val="16"/>
        <w:szCs w:val="16"/>
        <w:lang w:val="en-US"/>
      </w:rPr>
      <w:ptab w:relativeTo="indent" w:alignment="center" w:leader="none"/>
    </w:r>
    <w:r w:rsidRPr="008F28FF">
      <w:rPr>
        <w:rFonts w:ascii="Calibri" w:eastAsia="Times New Roman" w:hAnsi="Calibri" w:cs="Times New Roman"/>
        <w:b/>
        <w:noProof/>
        <w:sz w:val="16"/>
        <w:szCs w:val="16"/>
        <w:lang w:val="de-DE"/>
      </w:rPr>
      <w:t xml:space="preserve">      </w:t>
    </w:r>
  </w:p>
  <w:p w14:paraId="4DCF9A71" w14:textId="77777777" w:rsidR="00816331" w:rsidRPr="00EF6AEE" w:rsidRDefault="00816331" w:rsidP="00FF3BB3">
    <w:pPr>
      <w:spacing w:after="0" w:line="240" w:lineRule="aut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0401A"/>
    <w:multiLevelType w:val="hybridMultilevel"/>
    <w:tmpl w:val="4E40745C"/>
    <w:lvl w:ilvl="0" w:tplc="603C45E4">
      <w:start w:val="1"/>
      <w:numFmt w:val="decimal"/>
      <w:lvlText w:val="%1."/>
      <w:lvlJc w:val="left"/>
      <w:pPr>
        <w:tabs>
          <w:tab w:val="num" w:pos="2160"/>
        </w:tabs>
        <w:ind w:left="2160" w:hanging="540"/>
      </w:pPr>
      <w:rPr>
        <w:rFonts w:asciiTheme="majorHAnsi" w:hAnsiTheme="majorHAnsi" w:hint="default"/>
        <w:color w:val="FFFFFF" w:themeColor="background1"/>
        <w:sz w:val="28"/>
        <w:szCs w:val="28"/>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337C6311"/>
    <w:multiLevelType w:val="hybridMultilevel"/>
    <w:tmpl w:val="A4CE05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325391"/>
    <w:multiLevelType w:val="hybridMultilevel"/>
    <w:tmpl w:val="6A607F0A"/>
    <w:lvl w:ilvl="0" w:tplc="45AE763C">
      <w:start w:val="1"/>
      <w:numFmt w:val="decimal"/>
      <w:lvlText w:val="%1."/>
      <w:lvlJc w:val="left"/>
      <w:pPr>
        <w:ind w:left="720" w:hanging="360"/>
      </w:pPr>
      <w:rPr>
        <w:rFonts w:asciiTheme="minorHAnsi" w:eastAsia="MS Mincho" w:hAnsiTheme="minorHAnsi" w:cs="Calibri Ligh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828EA"/>
    <w:multiLevelType w:val="hybridMultilevel"/>
    <w:tmpl w:val="A4028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872D0"/>
    <w:multiLevelType w:val="hybridMultilevel"/>
    <w:tmpl w:val="D26CF160"/>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5">
    <w:nsid w:val="595B41F7"/>
    <w:multiLevelType w:val="hybridMultilevel"/>
    <w:tmpl w:val="FBA2F7B2"/>
    <w:lvl w:ilvl="0" w:tplc="04090001">
      <w:start w:val="1"/>
      <w:numFmt w:val="bullet"/>
      <w:lvlText w:val=""/>
      <w:lvlJc w:val="left"/>
      <w:pPr>
        <w:ind w:left="720" w:hanging="360"/>
      </w:pPr>
      <w:rPr>
        <w:rFonts w:ascii="Symbol" w:hAnsi="Symbol" w:hint="default"/>
      </w:rPr>
    </w:lvl>
    <w:lvl w:ilvl="1" w:tplc="D49CF1F0">
      <w:start w:val="34"/>
      <w:numFmt w:val="bullet"/>
      <w:lvlText w:val="-"/>
      <w:lvlJc w:val="left"/>
      <w:pPr>
        <w:ind w:left="1440" w:hanging="360"/>
      </w:pPr>
      <w:rPr>
        <w:rFonts w:ascii="Aptos" w:eastAsia="MS Mincho"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913105"/>
    <w:multiLevelType w:val="hybridMultilevel"/>
    <w:tmpl w:val="4F2EECD2"/>
    <w:lvl w:ilvl="0" w:tplc="7EC49536">
      <w:start w:val="1"/>
      <w:numFmt w:val="decimal"/>
      <w:lvlText w:val="%1."/>
      <w:lvlJc w:val="left"/>
      <w:pPr>
        <w:tabs>
          <w:tab w:val="num" w:pos="720"/>
        </w:tabs>
        <w:ind w:left="720" w:hanging="360"/>
      </w:pPr>
      <w:rPr>
        <w:rFonts w:asciiTheme="majorHAnsi" w:eastAsiaTheme="minorHAnsi" w:hAnsiTheme="majorHAnsi" w:cstheme="minorBidi" w:hint="default"/>
      </w:rPr>
    </w:lvl>
    <w:lvl w:ilvl="1" w:tplc="0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34F65"/>
    <w:multiLevelType w:val="hybridMultilevel"/>
    <w:tmpl w:val="2C4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93433"/>
    <w:multiLevelType w:val="hybridMultilevel"/>
    <w:tmpl w:val="B72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8"/>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3C"/>
    <w:rsid w:val="00000AFE"/>
    <w:rsid w:val="00000C08"/>
    <w:rsid w:val="00001139"/>
    <w:rsid w:val="00001AAC"/>
    <w:rsid w:val="000037B4"/>
    <w:rsid w:val="00004F8B"/>
    <w:rsid w:val="00005111"/>
    <w:rsid w:val="000078B6"/>
    <w:rsid w:val="00011A9B"/>
    <w:rsid w:val="0001291F"/>
    <w:rsid w:val="00013212"/>
    <w:rsid w:val="000132AF"/>
    <w:rsid w:val="0001487E"/>
    <w:rsid w:val="000161D4"/>
    <w:rsid w:val="00016DDA"/>
    <w:rsid w:val="00020AD2"/>
    <w:rsid w:val="00022DDB"/>
    <w:rsid w:val="0002364E"/>
    <w:rsid w:val="0002424E"/>
    <w:rsid w:val="00031ACB"/>
    <w:rsid w:val="0003303E"/>
    <w:rsid w:val="000339F3"/>
    <w:rsid w:val="00033C1F"/>
    <w:rsid w:val="00033E04"/>
    <w:rsid w:val="00034826"/>
    <w:rsid w:val="00037288"/>
    <w:rsid w:val="0004028F"/>
    <w:rsid w:val="00042D60"/>
    <w:rsid w:val="0004301F"/>
    <w:rsid w:val="0004395B"/>
    <w:rsid w:val="00043964"/>
    <w:rsid w:val="00043B22"/>
    <w:rsid w:val="00045EEA"/>
    <w:rsid w:val="00046667"/>
    <w:rsid w:val="0004681D"/>
    <w:rsid w:val="00047027"/>
    <w:rsid w:val="000471C8"/>
    <w:rsid w:val="00050C6E"/>
    <w:rsid w:val="000566AF"/>
    <w:rsid w:val="00057FC1"/>
    <w:rsid w:val="00060901"/>
    <w:rsid w:val="0006116B"/>
    <w:rsid w:val="00061ED5"/>
    <w:rsid w:val="00062E74"/>
    <w:rsid w:val="00063018"/>
    <w:rsid w:val="00067426"/>
    <w:rsid w:val="000700C8"/>
    <w:rsid w:val="000701B5"/>
    <w:rsid w:val="00071916"/>
    <w:rsid w:val="000768E7"/>
    <w:rsid w:val="00077076"/>
    <w:rsid w:val="00077882"/>
    <w:rsid w:val="000801BC"/>
    <w:rsid w:val="00080670"/>
    <w:rsid w:val="00080C9F"/>
    <w:rsid w:val="00081227"/>
    <w:rsid w:val="000818C1"/>
    <w:rsid w:val="000818E4"/>
    <w:rsid w:val="00081D71"/>
    <w:rsid w:val="000839C7"/>
    <w:rsid w:val="00084DCB"/>
    <w:rsid w:val="000863DB"/>
    <w:rsid w:val="00092DE1"/>
    <w:rsid w:val="00093DDF"/>
    <w:rsid w:val="000949D2"/>
    <w:rsid w:val="000A0634"/>
    <w:rsid w:val="000A1C63"/>
    <w:rsid w:val="000A2761"/>
    <w:rsid w:val="000A27E1"/>
    <w:rsid w:val="000A3BA7"/>
    <w:rsid w:val="000A5B69"/>
    <w:rsid w:val="000A5E76"/>
    <w:rsid w:val="000A6122"/>
    <w:rsid w:val="000A6738"/>
    <w:rsid w:val="000A720F"/>
    <w:rsid w:val="000A7DDB"/>
    <w:rsid w:val="000B05A9"/>
    <w:rsid w:val="000B1194"/>
    <w:rsid w:val="000B20E0"/>
    <w:rsid w:val="000B23C0"/>
    <w:rsid w:val="000B4171"/>
    <w:rsid w:val="000B44CD"/>
    <w:rsid w:val="000B6440"/>
    <w:rsid w:val="000C1766"/>
    <w:rsid w:val="000C278B"/>
    <w:rsid w:val="000C3908"/>
    <w:rsid w:val="000C57C2"/>
    <w:rsid w:val="000C70A4"/>
    <w:rsid w:val="000D037C"/>
    <w:rsid w:val="000D0BF2"/>
    <w:rsid w:val="000D1026"/>
    <w:rsid w:val="000D1B59"/>
    <w:rsid w:val="000D25ED"/>
    <w:rsid w:val="000D3E90"/>
    <w:rsid w:val="000D4CE3"/>
    <w:rsid w:val="000D6DA0"/>
    <w:rsid w:val="000E1512"/>
    <w:rsid w:val="000E1C12"/>
    <w:rsid w:val="000E55B8"/>
    <w:rsid w:val="000E723B"/>
    <w:rsid w:val="000E72EF"/>
    <w:rsid w:val="000F03F5"/>
    <w:rsid w:val="000F06AF"/>
    <w:rsid w:val="000F2162"/>
    <w:rsid w:val="000F270D"/>
    <w:rsid w:val="000F315E"/>
    <w:rsid w:val="000F3EEB"/>
    <w:rsid w:val="000F4288"/>
    <w:rsid w:val="000F4502"/>
    <w:rsid w:val="0010162D"/>
    <w:rsid w:val="001018E3"/>
    <w:rsid w:val="001024AE"/>
    <w:rsid w:val="00102B6B"/>
    <w:rsid w:val="001044AA"/>
    <w:rsid w:val="00104CB6"/>
    <w:rsid w:val="00105450"/>
    <w:rsid w:val="001055B4"/>
    <w:rsid w:val="00106D83"/>
    <w:rsid w:val="00107A0A"/>
    <w:rsid w:val="001111A4"/>
    <w:rsid w:val="00111DBA"/>
    <w:rsid w:val="001131DF"/>
    <w:rsid w:val="0011424C"/>
    <w:rsid w:val="00115CEB"/>
    <w:rsid w:val="00120CB1"/>
    <w:rsid w:val="001210F6"/>
    <w:rsid w:val="00122990"/>
    <w:rsid w:val="00123198"/>
    <w:rsid w:val="0012368D"/>
    <w:rsid w:val="00123F53"/>
    <w:rsid w:val="001259A2"/>
    <w:rsid w:val="00125A95"/>
    <w:rsid w:val="00126FC9"/>
    <w:rsid w:val="00127862"/>
    <w:rsid w:val="001318E3"/>
    <w:rsid w:val="00131B61"/>
    <w:rsid w:val="00133224"/>
    <w:rsid w:val="0013504F"/>
    <w:rsid w:val="0013630F"/>
    <w:rsid w:val="00137D50"/>
    <w:rsid w:val="0014038A"/>
    <w:rsid w:val="00140694"/>
    <w:rsid w:val="00142C5E"/>
    <w:rsid w:val="0014373D"/>
    <w:rsid w:val="00145BB4"/>
    <w:rsid w:val="00145CF9"/>
    <w:rsid w:val="00146777"/>
    <w:rsid w:val="00150DA4"/>
    <w:rsid w:val="00152702"/>
    <w:rsid w:val="00152B56"/>
    <w:rsid w:val="00161E46"/>
    <w:rsid w:val="00164ED6"/>
    <w:rsid w:val="00170D20"/>
    <w:rsid w:val="001713A5"/>
    <w:rsid w:val="00171A37"/>
    <w:rsid w:val="001738BE"/>
    <w:rsid w:val="00175531"/>
    <w:rsid w:val="0017640A"/>
    <w:rsid w:val="0018131B"/>
    <w:rsid w:val="00184C0A"/>
    <w:rsid w:val="0018551C"/>
    <w:rsid w:val="001869BC"/>
    <w:rsid w:val="001876F1"/>
    <w:rsid w:val="001944C1"/>
    <w:rsid w:val="00194CE8"/>
    <w:rsid w:val="00196E89"/>
    <w:rsid w:val="001A2494"/>
    <w:rsid w:val="001A567D"/>
    <w:rsid w:val="001A6049"/>
    <w:rsid w:val="001B1AF2"/>
    <w:rsid w:val="001B1F0E"/>
    <w:rsid w:val="001B2D82"/>
    <w:rsid w:val="001B3F86"/>
    <w:rsid w:val="001B411D"/>
    <w:rsid w:val="001B4871"/>
    <w:rsid w:val="001B6FF1"/>
    <w:rsid w:val="001B7F58"/>
    <w:rsid w:val="001C1B86"/>
    <w:rsid w:val="001C2EE6"/>
    <w:rsid w:val="001C30CE"/>
    <w:rsid w:val="001C3229"/>
    <w:rsid w:val="001C640E"/>
    <w:rsid w:val="001D14C0"/>
    <w:rsid w:val="001D188E"/>
    <w:rsid w:val="001D1A3B"/>
    <w:rsid w:val="001D22F1"/>
    <w:rsid w:val="001D2332"/>
    <w:rsid w:val="001D375A"/>
    <w:rsid w:val="001E0704"/>
    <w:rsid w:val="001E1DB9"/>
    <w:rsid w:val="001E1E59"/>
    <w:rsid w:val="001E5B2F"/>
    <w:rsid w:val="001F1A99"/>
    <w:rsid w:val="001F1B5C"/>
    <w:rsid w:val="001F1BA2"/>
    <w:rsid w:val="001F295F"/>
    <w:rsid w:val="001F33FF"/>
    <w:rsid w:val="001F42C9"/>
    <w:rsid w:val="001F6DF9"/>
    <w:rsid w:val="001F7A65"/>
    <w:rsid w:val="00200003"/>
    <w:rsid w:val="002004C3"/>
    <w:rsid w:val="00201201"/>
    <w:rsid w:val="0020174A"/>
    <w:rsid w:val="00201E5A"/>
    <w:rsid w:val="0020293F"/>
    <w:rsid w:val="002074E5"/>
    <w:rsid w:val="0020782D"/>
    <w:rsid w:val="00210077"/>
    <w:rsid w:val="00211D3F"/>
    <w:rsid w:val="0021341A"/>
    <w:rsid w:val="002135C9"/>
    <w:rsid w:val="002139D1"/>
    <w:rsid w:val="00216577"/>
    <w:rsid w:val="00216F0E"/>
    <w:rsid w:val="00221511"/>
    <w:rsid w:val="00221CBA"/>
    <w:rsid w:val="00222AB6"/>
    <w:rsid w:val="00223BF7"/>
    <w:rsid w:val="00223F96"/>
    <w:rsid w:val="002245BC"/>
    <w:rsid w:val="00224AFD"/>
    <w:rsid w:val="00227290"/>
    <w:rsid w:val="002275D1"/>
    <w:rsid w:val="0023066E"/>
    <w:rsid w:val="002312E3"/>
    <w:rsid w:val="0023162C"/>
    <w:rsid w:val="00231DCA"/>
    <w:rsid w:val="002333AC"/>
    <w:rsid w:val="00233E5C"/>
    <w:rsid w:val="00234CA0"/>
    <w:rsid w:val="00240156"/>
    <w:rsid w:val="00240745"/>
    <w:rsid w:val="00242878"/>
    <w:rsid w:val="00242896"/>
    <w:rsid w:val="00242921"/>
    <w:rsid w:val="002435FC"/>
    <w:rsid w:val="00244070"/>
    <w:rsid w:val="002442D9"/>
    <w:rsid w:val="00244E12"/>
    <w:rsid w:val="002477DC"/>
    <w:rsid w:val="00250634"/>
    <w:rsid w:val="00251C57"/>
    <w:rsid w:val="00252570"/>
    <w:rsid w:val="00253082"/>
    <w:rsid w:val="0025359F"/>
    <w:rsid w:val="00254CE9"/>
    <w:rsid w:val="00255581"/>
    <w:rsid w:val="00255E4A"/>
    <w:rsid w:val="00260FF8"/>
    <w:rsid w:val="00261616"/>
    <w:rsid w:val="00262376"/>
    <w:rsid w:val="00264F00"/>
    <w:rsid w:val="0026610D"/>
    <w:rsid w:val="002671C0"/>
    <w:rsid w:val="00267E2D"/>
    <w:rsid w:val="0027043D"/>
    <w:rsid w:val="002707B5"/>
    <w:rsid w:val="00273F8A"/>
    <w:rsid w:val="002747F0"/>
    <w:rsid w:val="00277078"/>
    <w:rsid w:val="00281077"/>
    <w:rsid w:val="002842C1"/>
    <w:rsid w:val="00290C98"/>
    <w:rsid w:val="00290DE7"/>
    <w:rsid w:val="00290EAD"/>
    <w:rsid w:val="00291305"/>
    <w:rsid w:val="00291F59"/>
    <w:rsid w:val="00295692"/>
    <w:rsid w:val="00296016"/>
    <w:rsid w:val="002A0692"/>
    <w:rsid w:val="002A171B"/>
    <w:rsid w:val="002A19C1"/>
    <w:rsid w:val="002A2CB6"/>
    <w:rsid w:val="002A3089"/>
    <w:rsid w:val="002A329E"/>
    <w:rsid w:val="002A44DB"/>
    <w:rsid w:val="002A7130"/>
    <w:rsid w:val="002A7744"/>
    <w:rsid w:val="002B04A5"/>
    <w:rsid w:val="002B0A93"/>
    <w:rsid w:val="002B118A"/>
    <w:rsid w:val="002B2B0D"/>
    <w:rsid w:val="002B50C1"/>
    <w:rsid w:val="002B6764"/>
    <w:rsid w:val="002B70EA"/>
    <w:rsid w:val="002C1A50"/>
    <w:rsid w:val="002C539E"/>
    <w:rsid w:val="002C5506"/>
    <w:rsid w:val="002D02D7"/>
    <w:rsid w:val="002D0BD8"/>
    <w:rsid w:val="002D292B"/>
    <w:rsid w:val="002D2E6E"/>
    <w:rsid w:val="002D5509"/>
    <w:rsid w:val="002D758B"/>
    <w:rsid w:val="002E07B6"/>
    <w:rsid w:val="002E1474"/>
    <w:rsid w:val="002E27C5"/>
    <w:rsid w:val="002E5A8E"/>
    <w:rsid w:val="002F0279"/>
    <w:rsid w:val="002F1F5D"/>
    <w:rsid w:val="002F2D7D"/>
    <w:rsid w:val="002F4BE4"/>
    <w:rsid w:val="002F5776"/>
    <w:rsid w:val="002F59DA"/>
    <w:rsid w:val="0030007E"/>
    <w:rsid w:val="00300E83"/>
    <w:rsid w:val="00301A14"/>
    <w:rsid w:val="00305888"/>
    <w:rsid w:val="00305969"/>
    <w:rsid w:val="00305ABB"/>
    <w:rsid w:val="00305BB3"/>
    <w:rsid w:val="003065CE"/>
    <w:rsid w:val="0031036D"/>
    <w:rsid w:val="003104A1"/>
    <w:rsid w:val="00310C69"/>
    <w:rsid w:val="00310C7A"/>
    <w:rsid w:val="00311E41"/>
    <w:rsid w:val="00312944"/>
    <w:rsid w:val="0031681E"/>
    <w:rsid w:val="00321FBB"/>
    <w:rsid w:val="00322AF4"/>
    <w:rsid w:val="00323810"/>
    <w:rsid w:val="00326B15"/>
    <w:rsid w:val="00326F10"/>
    <w:rsid w:val="00330BCB"/>
    <w:rsid w:val="00331482"/>
    <w:rsid w:val="003319E4"/>
    <w:rsid w:val="003356C1"/>
    <w:rsid w:val="003434A3"/>
    <w:rsid w:val="00343A62"/>
    <w:rsid w:val="00343BD7"/>
    <w:rsid w:val="003440C1"/>
    <w:rsid w:val="00344F74"/>
    <w:rsid w:val="003451EB"/>
    <w:rsid w:val="003455E0"/>
    <w:rsid w:val="00345C36"/>
    <w:rsid w:val="0034728C"/>
    <w:rsid w:val="00351ABD"/>
    <w:rsid w:val="00351AE9"/>
    <w:rsid w:val="003523EB"/>
    <w:rsid w:val="00352A95"/>
    <w:rsid w:val="00352E7A"/>
    <w:rsid w:val="00354DB4"/>
    <w:rsid w:val="00360673"/>
    <w:rsid w:val="0036360F"/>
    <w:rsid w:val="00363F89"/>
    <w:rsid w:val="003679A2"/>
    <w:rsid w:val="0037011F"/>
    <w:rsid w:val="003703D5"/>
    <w:rsid w:val="003760B7"/>
    <w:rsid w:val="00376D70"/>
    <w:rsid w:val="00377C99"/>
    <w:rsid w:val="00380668"/>
    <w:rsid w:val="003835EE"/>
    <w:rsid w:val="00383FA4"/>
    <w:rsid w:val="003841C2"/>
    <w:rsid w:val="003847BC"/>
    <w:rsid w:val="00384EAC"/>
    <w:rsid w:val="0038546A"/>
    <w:rsid w:val="0038783C"/>
    <w:rsid w:val="003901A3"/>
    <w:rsid w:val="0039139D"/>
    <w:rsid w:val="00392C01"/>
    <w:rsid w:val="00392F38"/>
    <w:rsid w:val="00395F2E"/>
    <w:rsid w:val="0039764F"/>
    <w:rsid w:val="003979D3"/>
    <w:rsid w:val="003A0099"/>
    <w:rsid w:val="003A0832"/>
    <w:rsid w:val="003A1BD8"/>
    <w:rsid w:val="003A2289"/>
    <w:rsid w:val="003A3E05"/>
    <w:rsid w:val="003A4EA9"/>
    <w:rsid w:val="003A5C75"/>
    <w:rsid w:val="003A6AC8"/>
    <w:rsid w:val="003A7F84"/>
    <w:rsid w:val="003A7FBE"/>
    <w:rsid w:val="003B12ED"/>
    <w:rsid w:val="003B192F"/>
    <w:rsid w:val="003B51D5"/>
    <w:rsid w:val="003B7D61"/>
    <w:rsid w:val="003C0782"/>
    <w:rsid w:val="003C0A18"/>
    <w:rsid w:val="003C2541"/>
    <w:rsid w:val="003C44BC"/>
    <w:rsid w:val="003C54C2"/>
    <w:rsid w:val="003C7840"/>
    <w:rsid w:val="003D1A16"/>
    <w:rsid w:val="003D1DC5"/>
    <w:rsid w:val="003D31BD"/>
    <w:rsid w:val="003D416A"/>
    <w:rsid w:val="003D48D4"/>
    <w:rsid w:val="003D5A20"/>
    <w:rsid w:val="003E264C"/>
    <w:rsid w:val="003E3BE6"/>
    <w:rsid w:val="003E56B9"/>
    <w:rsid w:val="003E7296"/>
    <w:rsid w:val="003E79DF"/>
    <w:rsid w:val="003F0AC3"/>
    <w:rsid w:val="003F4B54"/>
    <w:rsid w:val="003F5A9E"/>
    <w:rsid w:val="00400613"/>
    <w:rsid w:val="00401336"/>
    <w:rsid w:val="0040136B"/>
    <w:rsid w:val="00403F58"/>
    <w:rsid w:val="004045F3"/>
    <w:rsid w:val="004047E7"/>
    <w:rsid w:val="00404F94"/>
    <w:rsid w:val="00405A4D"/>
    <w:rsid w:val="0040685D"/>
    <w:rsid w:val="0040721F"/>
    <w:rsid w:val="004079AF"/>
    <w:rsid w:val="0041040E"/>
    <w:rsid w:val="00411CB8"/>
    <w:rsid w:val="00416258"/>
    <w:rsid w:val="00416E34"/>
    <w:rsid w:val="00417FF6"/>
    <w:rsid w:val="00420514"/>
    <w:rsid w:val="00420E3B"/>
    <w:rsid w:val="00421EAB"/>
    <w:rsid w:val="00422122"/>
    <w:rsid w:val="004249B5"/>
    <w:rsid w:val="004304D9"/>
    <w:rsid w:val="00431077"/>
    <w:rsid w:val="00432C3C"/>
    <w:rsid w:val="004349AA"/>
    <w:rsid w:val="00435113"/>
    <w:rsid w:val="0043579A"/>
    <w:rsid w:val="00440DDE"/>
    <w:rsid w:val="00440F33"/>
    <w:rsid w:val="00441E68"/>
    <w:rsid w:val="00442FA9"/>
    <w:rsid w:val="0044314B"/>
    <w:rsid w:val="00444E55"/>
    <w:rsid w:val="00445A20"/>
    <w:rsid w:val="00446200"/>
    <w:rsid w:val="004474BC"/>
    <w:rsid w:val="00450147"/>
    <w:rsid w:val="00450459"/>
    <w:rsid w:val="00452454"/>
    <w:rsid w:val="00452957"/>
    <w:rsid w:val="00453701"/>
    <w:rsid w:val="00453D5D"/>
    <w:rsid w:val="00457D8C"/>
    <w:rsid w:val="00457F79"/>
    <w:rsid w:val="00460362"/>
    <w:rsid w:val="00461BEB"/>
    <w:rsid w:val="00462102"/>
    <w:rsid w:val="00464149"/>
    <w:rsid w:val="00464A65"/>
    <w:rsid w:val="00464D80"/>
    <w:rsid w:val="004656D0"/>
    <w:rsid w:val="0046632B"/>
    <w:rsid w:val="00470640"/>
    <w:rsid w:val="00470BDD"/>
    <w:rsid w:val="00475287"/>
    <w:rsid w:val="00477F9D"/>
    <w:rsid w:val="00482B70"/>
    <w:rsid w:val="004831F7"/>
    <w:rsid w:val="00484C0C"/>
    <w:rsid w:val="00484C9F"/>
    <w:rsid w:val="00485642"/>
    <w:rsid w:val="00487110"/>
    <w:rsid w:val="00487486"/>
    <w:rsid w:val="004908DF"/>
    <w:rsid w:val="00491386"/>
    <w:rsid w:val="00494D7F"/>
    <w:rsid w:val="00494FCC"/>
    <w:rsid w:val="0049606F"/>
    <w:rsid w:val="00497B0C"/>
    <w:rsid w:val="004A36DD"/>
    <w:rsid w:val="004A3A39"/>
    <w:rsid w:val="004A4B78"/>
    <w:rsid w:val="004A5B66"/>
    <w:rsid w:val="004A6CDF"/>
    <w:rsid w:val="004B0A33"/>
    <w:rsid w:val="004B11B5"/>
    <w:rsid w:val="004B1398"/>
    <w:rsid w:val="004B1A90"/>
    <w:rsid w:val="004B1B1E"/>
    <w:rsid w:val="004B2307"/>
    <w:rsid w:val="004B30F1"/>
    <w:rsid w:val="004B356B"/>
    <w:rsid w:val="004B6A91"/>
    <w:rsid w:val="004B6B6F"/>
    <w:rsid w:val="004C12F7"/>
    <w:rsid w:val="004C6F53"/>
    <w:rsid w:val="004C76F4"/>
    <w:rsid w:val="004C77C4"/>
    <w:rsid w:val="004D0E53"/>
    <w:rsid w:val="004D324B"/>
    <w:rsid w:val="004D44C2"/>
    <w:rsid w:val="004D48C0"/>
    <w:rsid w:val="004D4A8B"/>
    <w:rsid w:val="004D651D"/>
    <w:rsid w:val="004D656E"/>
    <w:rsid w:val="004E1421"/>
    <w:rsid w:val="004E27FF"/>
    <w:rsid w:val="004E475A"/>
    <w:rsid w:val="004E5C27"/>
    <w:rsid w:val="004E6470"/>
    <w:rsid w:val="004E6A7E"/>
    <w:rsid w:val="004E6B36"/>
    <w:rsid w:val="004E7440"/>
    <w:rsid w:val="004E7718"/>
    <w:rsid w:val="004F0D05"/>
    <w:rsid w:val="004F17A3"/>
    <w:rsid w:val="004F1829"/>
    <w:rsid w:val="004F2E2C"/>
    <w:rsid w:val="004F39A9"/>
    <w:rsid w:val="004F44EC"/>
    <w:rsid w:val="004F6F9B"/>
    <w:rsid w:val="00500F55"/>
    <w:rsid w:val="00503097"/>
    <w:rsid w:val="005049C7"/>
    <w:rsid w:val="00504BA5"/>
    <w:rsid w:val="00505345"/>
    <w:rsid w:val="00506202"/>
    <w:rsid w:val="00506374"/>
    <w:rsid w:val="0051090E"/>
    <w:rsid w:val="005111E7"/>
    <w:rsid w:val="00511DF8"/>
    <w:rsid w:val="0051682C"/>
    <w:rsid w:val="005206B5"/>
    <w:rsid w:val="00521386"/>
    <w:rsid w:val="00521E8E"/>
    <w:rsid w:val="00523B0D"/>
    <w:rsid w:val="00523CB4"/>
    <w:rsid w:val="00524F8F"/>
    <w:rsid w:val="00526E82"/>
    <w:rsid w:val="0053030F"/>
    <w:rsid w:val="00531433"/>
    <w:rsid w:val="005314DD"/>
    <w:rsid w:val="005325A3"/>
    <w:rsid w:val="00534254"/>
    <w:rsid w:val="00535232"/>
    <w:rsid w:val="005358F3"/>
    <w:rsid w:val="005368B1"/>
    <w:rsid w:val="00540E9A"/>
    <w:rsid w:val="00542326"/>
    <w:rsid w:val="0054460A"/>
    <w:rsid w:val="0054467E"/>
    <w:rsid w:val="00544C6B"/>
    <w:rsid w:val="00545E84"/>
    <w:rsid w:val="005468AB"/>
    <w:rsid w:val="00550A24"/>
    <w:rsid w:val="00550F8C"/>
    <w:rsid w:val="005524F9"/>
    <w:rsid w:val="005533FB"/>
    <w:rsid w:val="00553F5B"/>
    <w:rsid w:val="0055487D"/>
    <w:rsid w:val="00554C8D"/>
    <w:rsid w:val="005566C1"/>
    <w:rsid w:val="00556CB6"/>
    <w:rsid w:val="005608E6"/>
    <w:rsid w:val="00562528"/>
    <w:rsid w:val="005649C7"/>
    <w:rsid w:val="0056607E"/>
    <w:rsid w:val="00571610"/>
    <w:rsid w:val="00571D78"/>
    <w:rsid w:val="00572E06"/>
    <w:rsid w:val="00575871"/>
    <w:rsid w:val="00576C31"/>
    <w:rsid w:val="00576F16"/>
    <w:rsid w:val="0057774F"/>
    <w:rsid w:val="00581808"/>
    <w:rsid w:val="005839EF"/>
    <w:rsid w:val="00583CC9"/>
    <w:rsid w:val="005847B3"/>
    <w:rsid w:val="00586F63"/>
    <w:rsid w:val="00586FD1"/>
    <w:rsid w:val="005876B9"/>
    <w:rsid w:val="00591AF7"/>
    <w:rsid w:val="00591DB9"/>
    <w:rsid w:val="00594AFA"/>
    <w:rsid w:val="0059523B"/>
    <w:rsid w:val="0059648D"/>
    <w:rsid w:val="005A01D6"/>
    <w:rsid w:val="005A107C"/>
    <w:rsid w:val="005A3262"/>
    <w:rsid w:val="005A35F3"/>
    <w:rsid w:val="005A5B9B"/>
    <w:rsid w:val="005A6260"/>
    <w:rsid w:val="005A7061"/>
    <w:rsid w:val="005B1705"/>
    <w:rsid w:val="005B21A5"/>
    <w:rsid w:val="005B3468"/>
    <w:rsid w:val="005B35FA"/>
    <w:rsid w:val="005B3F75"/>
    <w:rsid w:val="005B45B9"/>
    <w:rsid w:val="005B4B2C"/>
    <w:rsid w:val="005B4E9C"/>
    <w:rsid w:val="005B57E6"/>
    <w:rsid w:val="005B63BF"/>
    <w:rsid w:val="005B73B7"/>
    <w:rsid w:val="005B7B1E"/>
    <w:rsid w:val="005C1685"/>
    <w:rsid w:val="005C1CB2"/>
    <w:rsid w:val="005C30A9"/>
    <w:rsid w:val="005C3DF1"/>
    <w:rsid w:val="005C4A4C"/>
    <w:rsid w:val="005C6CF5"/>
    <w:rsid w:val="005C733A"/>
    <w:rsid w:val="005D2543"/>
    <w:rsid w:val="005D3A51"/>
    <w:rsid w:val="005D4593"/>
    <w:rsid w:val="005D5B33"/>
    <w:rsid w:val="005D7986"/>
    <w:rsid w:val="005D7FC9"/>
    <w:rsid w:val="005E13D3"/>
    <w:rsid w:val="005E1415"/>
    <w:rsid w:val="005E30CF"/>
    <w:rsid w:val="005E4C25"/>
    <w:rsid w:val="005E54F2"/>
    <w:rsid w:val="005E61FA"/>
    <w:rsid w:val="005E6DA5"/>
    <w:rsid w:val="005E725F"/>
    <w:rsid w:val="005E76E4"/>
    <w:rsid w:val="005F07B5"/>
    <w:rsid w:val="005F3AC0"/>
    <w:rsid w:val="005F4643"/>
    <w:rsid w:val="006001EA"/>
    <w:rsid w:val="00601DF0"/>
    <w:rsid w:val="00602976"/>
    <w:rsid w:val="00606C7D"/>
    <w:rsid w:val="00612F52"/>
    <w:rsid w:val="00613B2B"/>
    <w:rsid w:val="00614770"/>
    <w:rsid w:val="00616499"/>
    <w:rsid w:val="00620A23"/>
    <w:rsid w:val="00621FB4"/>
    <w:rsid w:val="006220CC"/>
    <w:rsid w:val="006224EC"/>
    <w:rsid w:val="00624B95"/>
    <w:rsid w:val="00625171"/>
    <w:rsid w:val="006261C0"/>
    <w:rsid w:val="006266C9"/>
    <w:rsid w:val="00626978"/>
    <w:rsid w:val="006278AE"/>
    <w:rsid w:val="00627ECB"/>
    <w:rsid w:val="00627F6E"/>
    <w:rsid w:val="00633941"/>
    <w:rsid w:val="00633DFB"/>
    <w:rsid w:val="006360BA"/>
    <w:rsid w:val="00637548"/>
    <w:rsid w:val="00641355"/>
    <w:rsid w:val="00642249"/>
    <w:rsid w:val="00642403"/>
    <w:rsid w:val="0064336F"/>
    <w:rsid w:val="00644F25"/>
    <w:rsid w:val="00645CA3"/>
    <w:rsid w:val="0064780E"/>
    <w:rsid w:val="00650494"/>
    <w:rsid w:val="00651602"/>
    <w:rsid w:val="00651B7D"/>
    <w:rsid w:val="006521B8"/>
    <w:rsid w:val="00653DC9"/>
    <w:rsid w:val="006569DA"/>
    <w:rsid w:val="0066099E"/>
    <w:rsid w:val="0066392E"/>
    <w:rsid w:val="00663ABE"/>
    <w:rsid w:val="006660B2"/>
    <w:rsid w:val="00666E5D"/>
    <w:rsid w:val="006679F6"/>
    <w:rsid w:val="00667BF5"/>
    <w:rsid w:val="00670DB2"/>
    <w:rsid w:val="00671987"/>
    <w:rsid w:val="00674F3C"/>
    <w:rsid w:val="00676504"/>
    <w:rsid w:val="0067651B"/>
    <w:rsid w:val="006768C7"/>
    <w:rsid w:val="00677D98"/>
    <w:rsid w:val="00684BFA"/>
    <w:rsid w:val="0068521A"/>
    <w:rsid w:val="00685CE8"/>
    <w:rsid w:val="00685ECA"/>
    <w:rsid w:val="00686F2C"/>
    <w:rsid w:val="00692788"/>
    <w:rsid w:val="00692CDB"/>
    <w:rsid w:val="00692F12"/>
    <w:rsid w:val="0069543C"/>
    <w:rsid w:val="00697820"/>
    <w:rsid w:val="006A4187"/>
    <w:rsid w:val="006A43F3"/>
    <w:rsid w:val="006A4B1B"/>
    <w:rsid w:val="006A4E9F"/>
    <w:rsid w:val="006A530A"/>
    <w:rsid w:val="006A6D29"/>
    <w:rsid w:val="006A78F7"/>
    <w:rsid w:val="006B0236"/>
    <w:rsid w:val="006B07CC"/>
    <w:rsid w:val="006B1662"/>
    <w:rsid w:val="006B236B"/>
    <w:rsid w:val="006B490A"/>
    <w:rsid w:val="006B6864"/>
    <w:rsid w:val="006C1555"/>
    <w:rsid w:val="006C20E9"/>
    <w:rsid w:val="006C4E34"/>
    <w:rsid w:val="006C53D4"/>
    <w:rsid w:val="006C53EA"/>
    <w:rsid w:val="006C6EE2"/>
    <w:rsid w:val="006C7EAB"/>
    <w:rsid w:val="006D2CDA"/>
    <w:rsid w:val="006D41E4"/>
    <w:rsid w:val="006D4849"/>
    <w:rsid w:val="006D4C3A"/>
    <w:rsid w:val="006D5C2F"/>
    <w:rsid w:val="006D768C"/>
    <w:rsid w:val="006E03A5"/>
    <w:rsid w:val="006E095F"/>
    <w:rsid w:val="006E1691"/>
    <w:rsid w:val="006E745E"/>
    <w:rsid w:val="006F0031"/>
    <w:rsid w:val="006F07EC"/>
    <w:rsid w:val="006F0A74"/>
    <w:rsid w:val="006F156C"/>
    <w:rsid w:val="006F2EA4"/>
    <w:rsid w:val="006F5F96"/>
    <w:rsid w:val="006F6FBC"/>
    <w:rsid w:val="006F77F3"/>
    <w:rsid w:val="006F7FBD"/>
    <w:rsid w:val="00701724"/>
    <w:rsid w:val="00701933"/>
    <w:rsid w:val="00701F48"/>
    <w:rsid w:val="007033C5"/>
    <w:rsid w:val="007042C6"/>
    <w:rsid w:val="007068C1"/>
    <w:rsid w:val="00710B2F"/>
    <w:rsid w:val="00710D17"/>
    <w:rsid w:val="00712D3C"/>
    <w:rsid w:val="00714B03"/>
    <w:rsid w:val="00714C0E"/>
    <w:rsid w:val="007151DB"/>
    <w:rsid w:val="00716C53"/>
    <w:rsid w:val="00721951"/>
    <w:rsid w:val="00722BA6"/>
    <w:rsid w:val="007235A2"/>
    <w:rsid w:val="00724637"/>
    <w:rsid w:val="0073057C"/>
    <w:rsid w:val="00733023"/>
    <w:rsid w:val="00734261"/>
    <w:rsid w:val="007349C4"/>
    <w:rsid w:val="00734C8B"/>
    <w:rsid w:val="007350B5"/>
    <w:rsid w:val="00737CC3"/>
    <w:rsid w:val="0074163E"/>
    <w:rsid w:val="00742FBF"/>
    <w:rsid w:val="007437A9"/>
    <w:rsid w:val="00744705"/>
    <w:rsid w:val="007447E1"/>
    <w:rsid w:val="0074602F"/>
    <w:rsid w:val="007500C1"/>
    <w:rsid w:val="007501B9"/>
    <w:rsid w:val="007504B8"/>
    <w:rsid w:val="00750BA5"/>
    <w:rsid w:val="00752ECE"/>
    <w:rsid w:val="00753423"/>
    <w:rsid w:val="00754B10"/>
    <w:rsid w:val="00754B7A"/>
    <w:rsid w:val="00757C3B"/>
    <w:rsid w:val="00760ED1"/>
    <w:rsid w:val="00761028"/>
    <w:rsid w:val="00762FEF"/>
    <w:rsid w:val="007638BF"/>
    <w:rsid w:val="00764FC3"/>
    <w:rsid w:val="007651A1"/>
    <w:rsid w:val="00765605"/>
    <w:rsid w:val="007660C4"/>
    <w:rsid w:val="00766277"/>
    <w:rsid w:val="00766977"/>
    <w:rsid w:val="0077305B"/>
    <w:rsid w:val="0077711A"/>
    <w:rsid w:val="007774CD"/>
    <w:rsid w:val="007811BD"/>
    <w:rsid w:val="00781C84"/>
    <w:rsid w:val="00785816"/>
    <w:rsid w:val="00790878"/>
    <w:rsid w:val="0079094D"/>
    <w:rsid w:val="00792A0F"/>
    <w:rsid w:val="007938D0"/>
    <w:rsid w:val="007977EE"/>
    <w:rsid w:val="00797AF1"/>
    <w:rsid w:val="007A5F05"/>
    <w:rsid w:val="007A6582"/>
    <w:rsid w:val="007A6781"/>
    <w:rsid w:val="007B2A7B"/>
    <w:rsid w:val="007B6A75"/>
    <w:rsid w:val="007C2EB8"/>
    <w:rsid w:val="007C3F54"/>
    <w:rsid w:val="007C4454"/>
    <w:rsid w:val="007C6130"/>
    <w:rsid w:val="007C66B4"/>
    <w:rsid w:val="007C7043"/>
    <w:rsid w:val="007C7ADA"/>
    <w:rsid w:val="007D091A"/>
    <w:rsid w:val="007D2C95"/>
    <w:rsid w:val="007D2FDA"/>
    <w:rsid w:val="007D5320"/>
    <w:rsid w:val="007D5517"/>
    <w:rsid w:val="007D68F1"/>
    <w:rsid w:val="007D6E97"/>
    <w:rsid w:val="007E106F"/>
    <w:rsid w:val="007E39BC"/>
    <w:rsid w:val="007E5498"/>
    <w:rsid w:val="007E735B"/>
    <w:rsid w:val="007E7BFE"/>
    <w:rsid w:val="007E7E2A"/>
    <w:rsid w:val="007F043A"/>
    <w:rsid w:val="007F0C48"/>
    <w:rsid w:val="007F0D59"/>
    <w:rsid w:val="007F3EAD"/>
    <w:rsid w:val="007F4DBF"/>
    <w:rsid w:val="007F5381"/>
    <w:rsid w:val="007F7337"/>
    <w:rsid w:val="007F7533"/>
    <w:rsid w:val="0080005A"/>
    <w:rsid w:val="00800C5F"/>
    <w:rsid w:val="00802468"/>
    <w:rsid w:val="00803144"/>
    <w:rsid w:val="00803579"/>
    <w:rsid w:val="00804DFE"/>
    <w:rsid w:val="008060AE"/>
    <w:rsid w:val="00806456"/>
    <w:rsid w:val="00807D83"/>
    <w:rsid w:val="008108B5"/>
    <w:rsid w:val="008111DB"/>
    <w:rsid w:val="00812EFE"/>
    <w:rsid w:val="00815BC9"/>
    <w:rsid w:val="00816331"/>
    <w:rsid w:val="0081711E"/>
    <w:rsid w:val="00820673"/>
    <w:rsid w:val="00825133"/>
    <w:rsid w:val="00825FA5"/>
    <w:rsid w:val="00826020"/>
    <w:rsid w:val="008268A1"/>
    <w:rsid w:val="008318BD"/>
    <w:rsid w:val="00835178"/>
    <w:rsid w:val="00835F98"/>
    <w:rsid w:val="00841E0B"/>
    <w:rsid w:val="00841E2C"/>
    <w:rsid w:val="00844370"/>
    <w:rsid w:val="008449E2"/>
    <w:rsid w:val="00844A2C"/>
    <w:rsid w:val="00845C91"/>
    <w:rsid w:val="0084722D"/>
    <w:rsid w:val="00847598"/>
    <w:rsid w:val="00851593"/>
    <w:rsid w:val="0085276C"/>
    <w:rsid w:val="00853B7B"/>
    <w:rsid w:val="00854715"/>
    <w:rsid w:val="008548AA"/>
    <w:rsid w:val="008548D2"/>
    <w:rsid w:val="0085513A"/>
    <w:rsid w:val="00855DEA"/>
    <w:rsid w:val="0085651B"/>
    <w:rsid w:val="00857F9B"/>
    <w:rsid w:val="00860F3F"/>
    <w:rsid w:val="00862C34"/>
    <w:rsid w:val="008639D5"/>
    <w:rsid w:val="008644D6"/>
    <w:rsid w:val="00866A26"/>
    <w:rsid w:val="00866CD2"/>
    <w:rsid w:val="00867BB7"/>
    <w:rsid w:val="008713C3"/>
    <w:rsid w:val="0087162F"/>
    <w:rsid w:val="008731F4"/>
    <w:rsid w:val="00874148"/>
    <w:rsid w:val="00875586"/>
    <w:rsid w:val="00876DBF"/>
    <w:rsid w:val="0088295B"/>
    <w:rsid w:val="00885931"/>
    <w:rsid w:val="008864EE"/>
    <w:rsid w:val="008867A2"/>
    <w:rsid w:val="008869FE"/>
    <w:rsid w:val="00890055"/>
    <w:rsid w:val="008900DD"/>
    <w:rsid w:val="00890195"/>
    <w:rsid w:val="00890726"/>
    <w:rsid w:val="00891A25"/>
    <w:rsid w:val="0089498A"/>
    <w:rsid w:val="00894A47"/>
    <w:rsid w:val="00896494"/>
    <w:rsid w:val="008967C7"/>
    <w:rsid w:val="00896E8E"/>
    <w:rsid w:val="008A05A6"/>
    <w:rsid w:val="008A123E"/>
    <w:rsid w:val="008A38AE"/>
    <w:rsid w:val="008A4D08"/>
    <w:rsid w:val="008A5952"/>
    <w:rsid w:val="008A5FE7"/>
    <w:rsid w:val="008A6040"/>
    <w:rsid w:val="008A6319"/>
    <w:rsid w:val="008A755A"/>
    <w:rsid w:val="008B0AA6"/>
    <w:rsid w:val="008B1B4B"/>
    <w:rsid w:val="008B3F3C"/>
    <w:rsid w:val="008B4DC6"/>
    <w:rsid w:val="008B5385"/>
    <w:rsid w:val="008C200C"/>
    <w:rsid w:val="008C2DCD"/>
    <w:rsid w:val="008C5EE7"/>
    <w:rsid w:val="008C6491"/>
    <w:rsid w:val="008C791B"/>
    <w:rsid w:val="008C7A48"/>
    <w:rsid w:val="008C7DE4"/>
    <w:rsid w:val="008D32C4"/>
    <w:rsid w:val="008D3EBD"/>
    <w:rsid w:val="008D4437"/>
    <w:rsid w:val="008D6147"/>
    <w:rsid w:val="008D6753"/>
    <w:rsid w:val="008D7239"/>
    <w:rsid w:val="008E2655"/>
    <w:rsid w:val="008E34DD"/>
    <w:rsid w:val="008E42F8"/>
    <w:rsid w:val="008E660A"/>
    <w:rsid w:val="008E7654"/>
    <w:rsid w:val="008F20A3"/>
    <w:rsid w:val="008F26E3"/>
    <w:rsid w:val="008F2AED"/>
    <w:rsid w:val="008F3EA0"/>
    <w:rsid w:val="008F5011"/>
    <w:rsid w:val="008F50F4"/>
    <w:rsid w:val="00900ADD"/>
    <w:rsid w:val="00903801"/>
    <w:rsid w:val="00904EC0"/>
    <w:rsid w:val="00906691"/>
    <w:rsid w:val="009074CC"/>
    <w:rsid w:val="0091104D"/>
    <w:rsid w:val="00913153"/>
    <w:rsid w:val="009141B8"/>
    <w:rsid w:val="00916375"/>
    <w:rsid w:val="00921733"/>
    <w:rsid w:val="00924743"/>
    <w:rsid w:val="009275FE"/>
    <w:rsid w:val="0093019D"/>
    <w:rsid w:val="00931E25"/>
    <w:rsid w:val="00933757"/>
    <w:rsid w:val="00937BCC"/>
    <w:rsid w:val="00937CF2"/>
    <w:rsid w:val="00940821"/>
    <w:rsid w:val="00941E17"/>
    <w:rsid w:val="0094299A"/>
    <w:rsid w:val="00944943"/>
    <w:rsid w:val="009472D2"/>
    <w:rsid w:val="009478C9"/>
    <w:rsid w:val="00951264"/>
    <w:rsid w:val="00951282"/>
    <w:rsid w:val="009519B3"/>
    <w:rsid w:val="0095339C"/>
    <w:rsid w:val="00955C20"/>
    <w:rsid w:val="0095668E"/>
    <w:rsid w:val="009569BD"/>
    <w:rsid w:val="00957CD6"/>
    <w:rsid w:val="00961BED"/>
    <w:rsid w:val="0096342C"/>
    <w:rsid w:val="00963CA6"/>
    <w:rsid w:val="00964802"/>
    <w:rsid w:val="00964F1C"/>
    <w:rsid w:val="00964FC0"/>
    <w:rsid w:val="00966812"/>
    <w:rsid w:val="009673CA"/>
    <w:rsid w:val="009702B2"/>
    <w:rsid w:val="009705A3"/>
    <w:rsid w:val="00971530"/>
    <w:rsid w:val="00971C8B"/>
    <w:rsid w:val="0097456D"/>
    <w:rsid w:val="0098286F"/>
    <w:rsid w:val="00982CD0"/>
    <w:rsid w:val="00982FE4"/>
    <w:rsid w:val="00983017"/>
    <w:rsid w:val="00983740"/>
    <w:rsid w:val="00985354"/>
    <w:rsid w:val="00986A66"/>
    <w:rsid w:val="00992354"/>
    <w:rsid w:val="00994987"/>
    <w:rsid w:val="0099695E"/>
    <w:rsid w:val="009A0925"/>
    <w:rsid w:val="009A161E"/>
    <w:rsid w:val="009A1805"/>
    <w:rsid w:val="009A4BC1"/>
    <w:rsid w:val="009A511C"/>
    <w:rsid w:val="009A537B"/>
    <w:rsid w:val="009A578D"/>
    <w:rsid w:val="009A68B6"/>
    <w:rsid w:val="009B0A50"/>
    <w:rsid w:val="009B2A99"/>
    <w:rsid w:val="009B4157"/>
    <w:rsid w:val="009B4203"/>
    <w:rsid w:val="009B7116"/>
    <w:rsid w:val="009B7CE5"/>
    <w:rsid w:val="009C10EE"/>
    <w:rsid w:val="009C1652"/>
    <w:rsid w:val="009C17E3"/>
    <w:rsid w:val="009C2BE8"/>
    <w:rsid w:val="009C2F12"/>
    <w:rsid w:val="009C42AB"/>
    <w:rsid w:val="009C4C0E"/>
    <w:rsid w:val="009C4D6D"/>
    <w:rsid w:val="009C725E"/>
    <w:rsid w:val="009C7655"/>
    <w:rsid w:val="009D0799"/>
    <w:rsid w:val="009D11D9"/>
    <w:rsid w:val="009D14DF"/>
    <w:rsid w:val="009D1BCE"/>
    <w:rsid w:val="009D2683"/>
    <w:rsid w:val="009D2B08"/>
    <w:rsid w:val="009D3A72"/>
    <w:rsid w:val="009D3C8E"/>
    <w:rsid w:val="009D3ED4"/>
    <w:rsid w:val="009D41A8"/>
    <w:rsid w:val="009D43F2"/>
    <w:rsid w:val="009D5556"/>
    <w:rsid w:val="009D5F58"/>
    <w:rsid w:val="009D5F98"/>
    <w:rsid w:val="009D63C9"/>
    <w:rsid w:val="009D702A"/>
    <w:rsid w:val="009D7ADD"/>
    <w:rsid w:val="009D7E8B"/>
    <w:rsid w:val="009E0512"/>
    <w:rsid w:val="009E0736"/>
    <w:rsid w:val="009E1E10"/>
    <w:rsid w:val="009E2BC1"/>
    <w:rsid w:val="009E336C"/>
    <w:rsid w:val="009E360B"/>
    <w:rsid w:val="009E3ABC"/>
    <w:rsid w:val="009E3D61"/>
    <w:rsid w:val="009E5783"/>
    <w:rsid w:val="009E5B12"/>
    <w:rsid w:val="009E7444"/>
    <w:rsid w:val="009E762E"/>
    <w:rsid w:val="009F2145"/>
    <w:rsid w:val="009F2567"/>
    <w:rsid w:val="009F6002"/>
    <w:rsid w:val="009F633C"/>
    <w:rsid w:val="009F7184"/>
    <w:rsid w:val="00A003E8"/>
    <w:rsid w:val="00A010E1"/>
    <w:rsid w:val="00A014B3"/>
    <w:rsid w:val="00A03260"/>
    <w:rsid w:val="00A04216"/>
    <w:rsid w:val="00A06E59"/>
    <w:rsid w:val="00A076F0"/>
    <w:rsid w:val="00A10A0C"/>
    <w:rsid w:val="00A12213"/>
    <w:rsid w:val="00A122DC"/>
    <w:rsid w:val="00A12348"/>
    <w:rsid w:val="00A125E0"/>
    <w:rsid w:val="00A13303"/>
    <w:rsid w:val="00A1474F"/>
    <w:rsid w:val="00A14977"/>
    <w:rsid w:val="00A17424"/>
    <w:rsid w:val="00A17BF1"/>
    <w:rsid w:val="00A22196"/>
    <w:rsid w:val="00A26C5B"/>
    <w:rsid w:val="00A30A45"/>
    <w:rsid w:val="00A31014"/>
    <w:rsid w:val="00A31AF7"/>
    <w:rsid w:val="00A33A3A"/>
    <w:rsid w:val="00A3443A"/>
    <w:rsid w:val="00A40AE4"/>
    <w:rsid w:val="00A411D3"/>
    <w:rsid w:val="00A41650"/>
    <w:rsid w:val="00A41C0F"/>
    <w:rsid w:val="00A44EB1"/>
    <w:rsid w:val="00A45E60"/>
    <w:rsid w:val="00A47710"/>
    <w:rsid w:val="00A51F18"/>
    <w:rsid w:val="00A5250E"/>
    <w:rsid w:val="00A53355"/>
    <w:rsid w:val="00A5406B"/>
    <w:rsid w:val="00A60B09"/>
    <w:rsid w:val="00A60E4F"/>
    <w:rsid w:val="00A61263"/>
    <w:rsid w:val="00A62418"/>
    <w:rsid w:val="00A66802"/>
    <w:rsid w:val="00A669FD"/>
    <w:rsid w:val="00A66D8A"/>
    <w:rsid w:val="00A67740"/>
    <w:rsid w:val="00A678F3"/>
    <w:rsid w:val="00A67941"/>
    <w:rsid w:val="00A718F0"/>
    <w:rsid w:val="00A74DCB"/>
    <w:rsid w:val="00A753F0"/>
    <w:rsid w:val="00A76215"/>
    <w:rsid w:val="00A809B9"/>
    <w:rsid w:val="00A80A80"/>
    <w:rsid w:val="00A81541"/>
    <w:rsid w:val="00A8186C"/>
    <w:rsid w:val="00A81C01"/>
    <w:rsid w:val="00A82DB3"/>
    <w:rsid w:val="00A83452"/>
    <w:rsid w:val="00A83652"/>
    <w:rsid w:val="00A841C6"/>
    <w:rsid w:val="00A9225B"/>
    <w:rsid w:val="00A92945"/>
    <w:rsid w:val="00A9303C"/>
    <w:rsid w:val="00A94638"/>
    <w:rsid w:val="00A94771"/>
    <w:rsid w:val="00A948DF"/>
    <w:rsid w:val="00A97849"/>
    <w:rsid w:val="00AA1B00"/>
    <w:rsid w:val="00AA2A6C"/>
    <w:rsid w:val="00AA2EBD"/>
    <w:rsid w:val="00AA510E"/>
    <w:rsid w:val="00AA61B8"/>
    <w:rsid w:val="00AA62D2"/>
    <w:rsid w:val="00AB3CC0"/>
    <w:rsid w:val="00AB4ACA"/>
    <w:rsid w:val="00AB56C4"/>
    <w:rsid w:val="00AB5E23"/>
    <w:rsid w:val="00AB604B"/>
    <w:rsid w:val="00AB67DC"/>
    <w:rsid w:val="00AB6DDD"/>
    <w:rsid w:val="00AB75A0"/>
    <w:rsid w:val="00AB75DB"/>
    <w:rsid w:val="00AB7715"/>
    <w:rsid w:val="00AC00FF"/>
    <w:rsid w:val="00AC1732"/>
    <w:rsid w:val="00AC2588"/>
    <w:rsid w:val="00AC2BCF"/>
    <w:rsid w:val="00AC44DC"/>
    <w:rsid w:val="00AC7561"/>
    <w:rsid w:val="00AC7DDD"/>
    <w:rsid w:val="00AD061C"/>
    <w:rsid w:val="00AD0CCB"/>
    <w:rsid w:val="00AD3B5B"/>
    <w:rsid w:val="00AD5825"/>
    <w:rsid w:val="00AD5B9B"/>
    <w:rsid w:val="00AE0DBB"/>
    <w:rsid w:val="00AE5FF8"/>
    <w:rsid w:val="00AE60D4"/>
    <w:rsid w:val="00AE63E9"/>
    <w:rsid w:val="00AF0564"/>
    <w:rsid w:val="00AF2E6B"/>
    <w:rsid w:val="00AF51AC"/>
    <w:rsid w:val="00AF526B"/>
    <w:rsid w:val="00B02245"/>
    <w:rsid w:val="00B03218"/>
    <w:rsid w:val="00B03936"/>
    <w:rsid w:val="00B03990"/>
    <w:rsid w:val="00B07E12"/>
    <w:rsid w:val="00B10745"/>
    <w:rsid w:val="00B11F1B"/>
    <w:rsid w:val="00B1240A"/>
    <w:rsid w:val="00B12791"/>
    <w:rsid w:val="00B13838"/>
    <w:rsid w:val="00B175D8"/>
    <w:rsid w:val="00B20EA5"/>
    <w:rsid w:val="00B214AE"/>
    <w:rsid w:val="00B21501"/>
    <w:rsid w:val="00B2164D"/>
    <w:rsid w:val="00B21818"/>
    <w:rsid w:val="00B24BC8"/>
    <w:rsid w:val="00B278B6"/>
    <w:rsid w:val="00B27965"/>
    <w:rsid w:val="00B304D2"/>
    <w:rsid w:val="00B31A8F"/>
    <w:rsid w:val="00B32394"/>
    <w:rsid w:val="00B335BF"/>
    <w:rsid w:val="00B33FD0"/>
    <w:rsid w:val="00B345DC"/>
    <w:rsid w:val="00B36776"/>
    <w:rsid w:val="00B37215"/>
    <w:rsid w:val="00B4105C"/>
    <w:rsid w:val="00B419A2"/>
    <w:rsid w:val="00B42E75"/>
    <w:rsid w:val="00B43CD7"/>
    <w:rsid w:val="00B44CCB"/>
    <w:rsid w:val="00B44F77"/>
    <w:rsid w:val="00B45F57"/>
    <w:rsid w:val="00B5046A"/>
    <w:rsid w:val="00B5078D"/>
    <w:rsid w:val="00B55B0E"/>
    <w:rsid w:val="00B55E6A"/>
    <w:rsid w:val="00B63394"/>
    <w:rsid w:val="00B65185"/>
    <w:rsid w:val="00B6558A"/>
    <w:rsid w:val="00B70677"/>
    <w:rsid w:val="00B70B18"/>
    <w:rsid w:val="00B718B2"/>
    <w:rsid w:val="00B7277B"/>
    <w:rsid w:val="00B7279C"/>
    <w:rsid w:val="00B76075"/>
    <w:rsid w:val="00B76375"/>
    <w:rsid w:val="00B77F70"/>
    <w:rsid w:val="00B806EA"/>
    <w:rsid w:val="00B817F7"/>
    <w:rsid w:val="00B81D41"/>
    <w:rsid w:val="00B835B2"/>
    <w:rsid w:val="00B839DD"/>
    <w:rsid w:val="00B85ABE"/>
    <w:rsid w:val="00B862D5"/>
    <w:rsid w:val="00B90864"/>
    <w:rsid w:val="00B91567"/>
    <w:rsid w:val="00B926C0"/>
    <w:rsid w:val="00B93405"/>
    <w:rsid w:val="00B93D48"/>
    <w:rsid w:val="00B9402D"/>
    <w:rsid w:val="00B94F78"/>
    <w:rsid w:val="00B95303"/>
    <w:rsid w:val="00B96D72"/>
    <w:rsid w:val="00BA195D"/>
    <w:rsid w:val="00BA1BC5"/>
    <w:rsid w:val="00BA1C84"/>
    <w:rsid w:val="00BA3D82"/>
    <w:rsid w:val="00BA3FB3"/>
    <w:rsid w:val="00BA5148"/>
    <w:rsid w:val="00BA58A3"/>
    <w:rsid w:val="00BA5A40"/>
    <w:rsid w:val="00BA5A79"/>
    <w:rsid w:val="00BA5DEB"/>
    <w:rsid w:val="00BA6F9C"/>
    <w:rsid w:val="00BB0E4D"/>
    <w:rsid w:val="00BB17B1"/>
    <w:rsid w:val="00BB3315"/>
    <w:rsid w:val="00BB4C7B"/>
    <w:rsid w:val="00BB528D"/>
    <w:rsid w:val="00BC0786"/>
    <w:rsid w:val="00BC3BAE"/>
    <w:rsid w:val="00BC4462"/>
    <w:rsid w:val="00BC4C0B"/>
    <w:rsid w:val="00BC4D82"/>
    <w:rsid w:val="00BC5E2B"/>
    <w:rsid w:val="00BC5EAA"/>
    <w:rsid w:val="00BC740B"/>
    <w:rsid w:val="00BC7F10"/>
    <w:rsid w:val="00BD1CAD"/>
    <w:rsid w:val="00BD462A"/>
    <w:rsid w:val="00BD791B"/>
    <w:rsid w:val="00BE014B"/>
    <w:rsid w:val="00BE2694"/>
    <w:rsid w:val="00BE3E6B"/>
    <w:rsid w:val="00BE4C50"/>
    <w:rsid w:val="00BE4CC3"/>
    <w:rsid w:val="00BE66B4"/>
    <w:rsid w:val="00BF0D8B"/>
    <w:rsid w:val="00BF1487"/>
    <w:rsid w:val="00BF1640"/>
    <w:rsid w:val="00BF2057"/>
    <w:rsid w:val="00BF26B0"/>
    <w:rsid w:val="00BF2954"/>
    <w:rsid w:val="00BF44CA"/>
    <w:rsid w:val="00BF4778"/>
    <w:rsid w:val="00BF67D2"/>
    <w:rsid w:val="00BF6C3F"/>
    <w:rsid w:val="00BF74BB"/>
    <w:rsid w:val="00C0233D"/>
    <w:rsid w:val="00C023C2"/>
    <w:rsid w:val="00C02C98"/>
    <w:rsid w:val="00C049EC"/>
    <w:rsid w:val="00C04BCD"/>
    <w:rsid w:val="00C11405"/>
    <w:rsid w:val="00C116E2"/>
    <w:rsid w:val="00C14DA5"/>
    <w:rsid w:val="00C15DF1"/>
    <w:rsid w:val="00C16389"/>
    <w:rsid w:val="00C164C4"/>
    <w:rsid w:val="00C16730"/>
    <w:rsid w:val="00C17505"/>
    <w:rsid w:val="00C17ACD"/>
    <w:rsid w:val="00C229B6"/>
    <w:rsid w:val="00C23A75"/>
    <w:rsid w:val="00C24D9F"/>
    <w:rsid w:val="00C274C4"/>
    <w:rsid w:val="00C27EF3"/>
    <w:rsid w:val="00C318D5"/>
    <w:rsid w:val="00C31B72"/>
    <w:rsid w:val="00C3335C"/>
    <w:rsid w:val="00C341B9"/>
    <w:rsid w:val="00C35356"/>
    <w:rsid w:val="00C360A0"/>
    <w:rsid w:val="00C37152"/>
    <w:rsid w:val="00C402C8"/>
    <w:rsid w:val="00C412BF"/>
    <w:rsid w:val="00C41B0F"/>
    <w:rsid w:val="00C41CBF"/>
    <w:rsid w:val="00C434A1"/>
    <w:rsid w:val="00C4648C"/>
    <w:rsid w:val="00C51AE1"/>
    <w:rsid w:val="00C52066"/>
    <w:rsid w:val="00C549A3"/>
    <w:rsid w:val="00C55732"/>
    <w:rsid w:val="00C576AE"/>
    <w:rsid w:val="00C579AF"/>
    <w:rsid w:val="00C606C3"/>
    <w:rsid w:val="00C6196F"/>
    <w:rsid w:val="00C62707"/>
    <w:rsid w:val="00C66EFF"/>
    <w:rsid w:val="00C67305"/>
    <w:rsid w:val="00C716EF"/>
    <w:rsid w:val="00C71856"/>
    <w:rsid w:val="00C7313B"/>
    <w:rsid w:val="00C7399E"/>
    <w:rsid w:val="00C75F3A"/>
    <w:rsid w:val="00C77DE7"/>
    <w:rsid w:val="00C80A07"/>
    <w:rsid w:val="00C8190A"/>
    <w:rsid w:val="00C81EB2"/>
    <w:rsid w:val="00C82598"/>
    <w:rsid w:val="00C82B26"/>
    <w:rsid w:val="00C850F3"/>
    <w:rsid w:val="00C859AA"/>
    <w:rsid w:val="00C86003"/>
    <w:rsid w:val="00C86EE4"/>
    <w:rsid w:val="00C86F58"/>
    <w:rsid w:val="00C87C75"/>
    <w:rsid w:val="00C90005"/>
    <w:rsid w:val="00C90E5F"/>
    <w:rsid w:val="00C92985"/>
    <w:rsid w:val="00C93CAE"/>
    <w:rsid w:val="00C947C1"/>
    <w:rsid w:val="00C94B9B"/>
    <w:rsid w:val="00C95A7B"/>
    <w:rsid w:val="00C95D2E"/>
    <w:rsid w:val="00C97209"/>
    <w:rsid w:val="00CA17A5"/>
    <w:rsid w:val="00CA22FE"/>
    <w:rsid w:val="00CA2A1C"/>
    <w:rsid w:val="00CA2E28"/>
    <w:rsid w:val="00CA2FA7"/>
    <w:rsid w:val="00CA416D"/>
    <w:rsid w:val="00CA647A"/>
    <w:rsid w:val="00CA6BD8"/>
    <w:rsid w:val="00CC06E5"/>
    <w:rsid w:val="00CC1070"/>
    <w:rsid w:val="00CC1681"/>
    <w:rsid w:val="00CC44F3"/>
    <w:rsid w:val="00CC4877"/>
    <w:rsid w:val="00CC530D"/>
    <w:rsid w:val="00CC5F35"/>
    <w:rsid w:val="00CC686E"/>
    <w:rsid w:val="00CC6DD7"/>
    <w:rsid w:val="00CC6ED7"/>
    <w:rsid w:val="00CC710A"/>
    <w:rsid w:val="00CC72BC"/>
    <w:rsid w:val="00CD1F1A"/>
    <w:rsid w:val="00CD23FE"/>
    <w:rsid w:val="00CD37D3"/>
    <w:rsid w:val="00CD3AB4"/>
    <w:rsid w:val="00CD4860"/>
    <w:rsid w:val="00CE0D41"/>
    <w:rsid w:val="00CE18F7"/>
    <w:rsid w:val="00CE2BEE"/>
    <w:rsid w:val="00CE482B"/>
    <w:rsid w:val="00CE7881"/>
    <w:rsid w:val="00CF0F33"/>
    <w:rsid w:val="00CF3268"/>
    <w:rsid w:val="00CF452B"/>
    <w:rsid w:val="00CF494A"/>
    <w:rsid w:val="00CF4E0C"/>
    <w:rsid w:val="00CF5466"/>
    <w:rsid w:val="00CF5F9B"/>
    <w:rsid w:val="00D00F01"/>
    <w:rsid w:val="00D01191"/>
    <w:rsid w:val="00D027C4"/>
    <w:rsid w:val="00D03752"/>
    <w:rsid w:val="00D03FCB"/>
    <w:rsid w:val="00D04CC0"/>
    <w:rsid w:val="00D06469"/>
    <w:rsid w:val="00D07AA5"/>
    <w:rsid w:val="00D106BD"/>
    <w:rsid w:val="00D11472"/>
    <w:rsid w:val="00D123B6"/>
    <w:rsid w:val="00D150C8"/>
    <w:rsid w:val="00D15524"/>
    <w:rsid w:val="00D156AE"/>
    <w:rsid w:val="00D16B25"/>
    <w:rsid w:val="00D21C17"/>
    <w:rsid w:val="00D22C3F"/>
    <w:rsid w:val="00D24B2F"/>
    <w:rsid w:val="00D24DCB"/>
    <w:rsid w:val="00D26822"/>
    <w:rsid w:val="00D27F92"/>
    <w:rsid w:val="00D31842"/>
    <w:rsid w:val="00D327A9"/>
    <w:rsid w:val="00D32967"/>
    <w:rsid w:val="00D3589F"/>
    <w:rsid w:val="00D41A72"/>
    <w:rsid w:val="00D421E8"/>
    <w:rsid w:val="00D42AE7"/>
    <w:rsid w:val="00D42FB8"/>
    <w:rsid w:val="00D444D1"/>
    <w:rsid w:val="00D45ED6"/>
    <w:rsid w:val="00D46BDB"/>
    <w:rsid w:val="00D509E3"/>
    <w:rsid w:val="00D50FFD"/>
    <w:rsid w:val="00D51F9F"/>
    <w:rsid w:val="00D53258"/>
    <w:rsid w:val="00D5444D"/>
    <w:rsid w:val="00D54779"/>
    <w:rsid w:val="00D56BFE"/>
    <w:rsid w:val="00D5788F"/>
    <w:rsid w:val="00D57A94"/>
    <w:rsid w:val="00D600F7"/>
    <w:rsid w:val="00D60ACB"/>
    <w:rsid w:val="00D66A0D"/>
    <w:rsid w:val="00D66D94"/>
    <w:rsid w:val="00D675D6"/>
    <w:rsid w:val="00D700E5"/>
    <w:rsid w:val="00D71828"/>
    <w:rsid w:val="00D77BD0"/>
    <w:rsid w:val="00D81B78"/>
    <w:rsid w:val="00D82B5A"/>
    <w:rsid w:val="00D91869"/>
    <w:rsid w:val="00D9197A"/>
    <w:rsid w:val="00D92394"/>
    <w:rsid w:val="00D96103"/>
    <w:rsid w:val="00DA3F48"/>
    <w:rsid w:val="00DA42B5"/>
    <w:rsid w:val="00DA466F"/>
    <w:rsid w:val="00DA601E"/>
    <w:rsid w:val="00DA7FC0"/>
    <w:rsid w:val="00DB014F"/>
    <w:rsid w:val="00DB0421"/>
    <w:rsid w:val="00DB11F6"/>
    <w:rsid w:val="00DB172B"/>
    <w:rsid w:val="00DB2481"/>
    <w:rsid w:val="00DB4A14"/>
    <w:rsid w:val="00DB6B1D"/>
    <w:rsid w:val="00DB7966"/>
    <w:rsid w:val="00DC088A"/>
    <w:rsid w:val="00DC7851"/>
    <w:rsid w:val="00DD05DE"/>
    <w:rsid w:val="00DD276C"/>
    <w:rsid w:val="00DD3D58"/>
    <w:rsid w:val="00DD3F08"/>
    <w:rsid w:val="00DD4372"/>
    <w:rsid w:val="00DD6233"/>
    <w:rsid w:val="00DD69D7"/>
    <w:rsid w:val="00DE2133"/>
    <w:rsid w:val="00DE2952"/>
    <w:rsid w:val="00DE42E4"/>
    <w:rsid w:val="00DE4BBB"/>
    <w:rsid w:val="00DE557E"/>
    <w:rsid w:val="00DF192E"/>
    <w:rsid w:val="00DF3FE7"/>
    <w:rsid w:val="00DF46DD"/>
    <w:rsid w:val="00DF69A3"/>
    <w:rsid w:val="00DF7801"/>
    <w:rsid w:val="00E0036D"/>
    <w:rsid w:val="00E00D7B"/>
    <w:rsid w:val="00E01713"/>
    <w:rsid w:val="00E035D9"/>
    <w:rsid w:val="00E03A12"/>
    <w:rsid w:val="00E05162"/>
    <w:rsid w:val="00E070AE"/>
    <w:rsid w:val="00E112B0"/>
    <w:rsid w:val="00E1410A"/>
    <w:rsid w:val="00E15044"/>
    <w:rsid w:val="00E16BD0"/>
    <w:rsid w:val="00E1716D"/>
    <w:rsid w:val="00E1754E"/>
    <w:rsid w:val="00E17D9F"/>
    <w:rsid w:val="00E203EF"/>
    <w:rsid w:val="00E22B82"/>
    <w:rsid w:val="00E23C98"/>
    <w:rsid w:val="00E24AAE"/>
    <w:rsid w:val="00E30471"/>
    <w:rsid w:val="00E34130"/>
    <w:rsid w:val="00E3491B"/>
    <w:rsid w:val="00E3570F"/>
    <w:rsid w:val="00E36F2C"/>
    <w:rsid w:val="00E4311E"/>
    <w:rsid w:val="00E4340C"/>
    <w:rsid w:val="00E45442"/>
    <w:rsid w:val="00E45A90"/>
    <w:rsid w:val="00E4761D"/>
    <w:rsid w:val="00E476BF"/>
    <w:rsid w:val="00E510E7"/>
    <w:rsid w:val="00E51647"/>
    <w:rsid w:val="00E52B5E"/>
    <w:rsid w:val="00E53B68"/>
    <w:rsid w:val="00E57B6B"/>
    <w:rsid w:val="00E62233"/>
    <w:rsid w:val="00E62DBC"/>
    <w:rsid w:val="00E64DDA"/>
    <w:rsid w:val="00E666C1"/>
    <w:rsid w:val="00E704B9"/>
    <w:rsid w:val="00E70A9D"/>
    <w:rsid w:val="00E71753"/>
    <w:rsid w:val="00E7634B"/>
    <w:rsid w:val="00E76628"/>
    <w:rsid w:val="00E76ED8"/>
    <w:rsid w:val="00E80480"/>
    <w:rsid w:val="00E80AA3"/>
    <w:rsid w:val="00E812A5"/>
    <w:rsid w:val="00E83F77"/>
    <w:rsid w:val="00E84049"/>
    <w:rsid w:val="00E84279"/>
    <w:rsid w:val="00E85E88"/>
    <w:rsid w:val="00E87C74"/>
    <w:rsid w:val="00E9122E"/>
    <w:rsid w:val="00E91946"/>
    <w:rsid w:val="00E919F0"/>
    <w:rsid w:val="00E91E50"/>
    <w:rsid w:val="00E92AA0"/>
    <w:rsid w:val="00E93E1E"/>
    <w:rsid w:val="00E94E7E"/>
    <w:rsid w:val="00E95D13"/>
    <w:rsid w:val="00E97E9B"/>
    <w:rsid w:val="00E97F76"/>
    <w:rsid w:val="00EA0174"/>
    <w:rsid w:val="00EA1986"/>
    <w:rsid w:val="00EA2D91"/>
    <w:rsid w:val="00EA3535"/>
    <w:rsid w:val="00EA3A79"/>
    <w:rsid w:val="00EA5352"/>
    <w:rsid w:val="00EA5D9E"/>
    <w:rsid w:val="00EA6291"/>
    <w:rsid w:val="00EB16EE"/>
    <w:rsid w:val="00EB2BF1"/>
    <w:rsid w:val="00EB332A"/>
    <w:rsid w:val="00EB5781"/>
    <w:rsid w:val="00EB58F8"/>
    <w:rsid w:val="00EC03CB"/>
    <w:rsid w:val="00EC0958"/>
    <w:rsid w:val="00EC2232"/>
    <w:rsid w:val="00EC32AE"/>
    <w:rsid w:val="00EC3C59"/>
    <w:rsid w:val="00EC4F3B"/>
    <w:rsid w:val="00EC5CF8"/>
    <w:rsid w:val="00ED07FB"/>
    <w:rsid w:val="00ED17BF"/>
    <w:rsid w:val="00ED1B03"/>
    <w:rsid w:val="00ED1D1A"/>
    <w:rsid w:val="00ED2DE2"/>
    <w:rsid w:val="00ED2E97"/>
    <w:rsid w:val="00ED4EB1"/>
    <w:rsid w:val="00ED50C4"/>
    <w:rsid w:val="00EE088D"/>
    <w:rsid w:val="00EE1BB3"/>
    <w:rsid w:val="00EE334A"/>
    <w:rsid w:val="00EE3E57"/>
    <w:rsid w:val="00EE4D96"/>
    <w:rsid w:val="00EF153F"/>
    <w:rsid w:val="00EF155E"/>
    <w:rsid w:val="00EF18AF"/>
    <w:rsid w:val="00EF1C60"/>
    <w:rsid w:val="00EF39A0"/>
    <w:rsid w:val="00EF44B2"/>
    <w:rsid w:val="00EF5C63"/>
    <w:rsid w:val="00EF7060"/>
    <w:rsid w:val="00F010BB"/>
    <w:rsid w:val="00F06977"/>
    <w:rsid w:val="00F06A99"/>
    <w:rsid w:val="00F06CBD"/>
    <w:rsid w:val="00F10E63"/>
    <w:rsid w:val="00F12E8D"/>
    <w:rsid w:val="00F13304"/>
    <w:rsid w:val="00F13EC6"/>
    <w:rsid w:val="00F16306"/>
    <w:rsid w:val="00F16D9D"/>
    <w:rsid w:val="00F171B0"/>
    <w:rsid w:val="00F20C13"/>
    <w:rsid w:val="00F21F4B"/>
    <w:rsid w:val="00F230EB"/>
    <w:rsid w:val="00F23705"/>
    <w:rsid w:val="00F241B2"/>
    <w:rsid w:val="00F2460F"/>
    <w:rsid w:val="00F26F79"/>
    <w:rsid w:val="00F27A06"/>
    <w:rsid w:val="00F31262"/>
    <w:rsid w:val="00F3334D"/>
    <w:rsid w:val="00F3347B"/>
    <w:rsid w:val="00F337AA"/>
    <w:rsid w:val="00F35F59"/>
    <w:rsid w:val="00F36C55"/>
    <w:rsid w:val="00F37FE8"/>
    <w:rsid w:val="00F41E1B"/>
    <w:rsid w:val="00F42146"/>
    <w:rsid w:val="00F4273F"/>
    <w:rsid w:val="00F43A28"/>
    <w:rsid w:val="00F43D39"/>
    <w:rsid w:val="00F45EB4"/>
    <w:rsid w:val="00F466F7"/>
    <w:rsid w:val="00F46DDF"/>
    <w:rsid w:val="00F508D5"/>
    <w:rsid w:val="00F50AF0"/>
    <w:rsid w:val="00F56EBF"/>
    <w:rsid w:val="00F57AC2"/>
    <w:rsid w:val="00F62B33"/>
    <w:rsid w:val="00F639A6"/>
    <w:rsid w:val="00F64B49"/>
    <w:rsid w:val="00F67789"/>
    <w:rsid w:val="00F67BA4"/>
    <w:rsid w:val="00F71BE1"/>
    <w:rsid w:val="00F75868"/>
    <w:rsid w:val="00F82F11"/>
    <w:rsid w:val="00F83274"/>
    <w:rsid w:val="00F85551"/>
    <w:rsid w:val="00F8691C"/>
    <w:rsid w:val="00F91531"/>
    <w:rsid w:val="00F91684"/>
    <w:rsid w:val="00F9207F"/>
    <w:rsid w:val="00F92303"/>
    <w:rsid w:val="00F940FB"/>
    <w:rsid w:val="00F94686"/>
    <w:rsid w:val="00F95150"/>
    <w:rsid w:val="00F95E2C"/>
    <w:rsid w:val="00F95FA1"/>
    <w:rsid w:val="00FA03AA"/>
    <w:rsid w:val="00FA0F49"/>
    <w:rsid w:val="00FA32BA"/>
    <w:rsid w:val="00FA3744"/>
    <w:rsid w:val="00FA5697"/>
    <w:rsid w:val="00FA69BE"/>
    <w:rsid w:val="00FB0655"/>
    <w:rsid w:val="00FB122F"/>
    <w:rsid w:val="00FB1CF2"/>
    <w:rsid w:val="00FB2AC6"/>
    <w:rsid w:val="00FB3A07"/>
    <w:rsid w:val="00FB4F22"/>
    <w:rsid w:val="00FB7189"/>
    <w:rsid w:val="00FC185A"/>
    <w:rsid w:val="00FC1E32"/>
    <w:rsid w:val="00FC33DF"/>
    <w:rsid w:val="00FC6D31"/>
    <w:rsid w:val="00FC70F7"/>
    <w:rsid w:val="00FD06E3"/>
    <w:rsid w:val="00FD07A8"/>
    <w:rsid w:val="00FD2737"/>
    <w:rsid w:val="00FD3541"/>
    <w:rsid w:val="00FD3BD3"/>
    <w:rsid w:val="00FE0616"/>
    <w:rsid w:val="00FE1E66"/>
    <w:rsid w:val="00FE50DE"/>
    <w:rsid w:val="00FF1642"/>
    <w:rsid w:val="00FF209B"/>
    <w:rsid w:val="00FF21BE"/>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A0521"/>
  <w15:chartTrackingRefBased/>
  <w15:docId w15:val="{89FE3EFA-E93F-4BCF-B9B7-56B74B09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kern w:val="2"/>
        <w:sz w:val="22"/>
        <w:szCs w:val="22"/>
        <w:lang w:val="s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A5"/>
    <w:rPr>
      <w:kern w:val="0"/>
      <w14:ligatures w14:val="none"/>
    </w:rPr>
  </w:style>
  <w:style w:type="paragraph" w:styleId="Heading1">
    <w:name w:val="heading 1"/>
    <w:basedOn w:val="Normal"/>
    <w:next w:val="Normal"/>
    <w:link w:val="Heading1Char"/>
    <w:uiPriority w:val="9"/>
    <w:qFormat/>
    <w:rsid w:val="008B3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3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3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F3C"/>
    <w:rPr>
      <w:rFonts w:eastAsiaTheme="majorEastAsia" w:cstheme="majorBidi"/>
      <w:color w:val="272727" w:themeColor="text1" w:themeTint="D8"/>
    </w:rPr>
  </w:style>
  <w:style w:type="paragraph" w:styleId="Title">
    <w:name w:val="Title"/>
    <w:basedOn w:val="Normal"/>
    <w:next w:val="Normal"/>
    <w:link w:val="TitleChar"/>
    <w:uiPriority w:val="10"/>
    <w:qFormat/>
    <w:rsid w:val="008B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3C"/>
    <w:pPr>
      <w:spacing w:before="160"/>
      <w:jc w:val="center"/>
    </w:pPr>
    <w:rPr>
      <w:i/>
      <w:iCs/>
      <w:color w:val="404040" w:themeColor="text1" w:themeTint="BF"/>
    </w:rPr>
  </w:style>
  <w:style w:type="character" w:customStyle="1" w:styleId="QuoteChar">
    <w:name w:val="Quote Char"/>
    <w:basedOn w:val="DefaultParagraphFont"/>
    <w:link w:val="Quote"/>
    <w:uiPriority w:val="29"/>
    <w:rsid w:val="008B3F3C"/>
    <w:rPr>
      <w:i/>
      <w:iCs/>
      <w:color w:val="404040" w:themeColor="text1" w:themeTint="BF"/>
    </w:rPr>
  </w:style>
  <w:style w:type="paragraph" w:styleId="ListParagraph">
    <w:name w:val="List Paragraph"/>
    <w:aliases w:val="List Paragraph (numbered (a)),List Paragraph1,Ha"/>
    <w:basedOn w:val="Normal"/>
    <w:link w:val="ListParagraphChar"/>
    <w:uiPriority w:val="34"/>
    <w:qFormat/>
    <w:rsid w:val="008B3F3C"/>
    <w:pPr>
      <w:ind w:left="720"/>
      <w:contextualSpacing/>
    </w:pPr>
  </w:style>
  <w:style w:type="character" w:styleId="IntenseEmphasis">
    <w:name w:val="Intense Emphasis"/>
    <w:basedOn w:val="DefaultParagraphFont"/>
    <w:uiPriority w:val="21"/>
    <w:qFormat/>
    <w:rsid w:val="008B3F3C"/>
    <w:rPr>
      <w:i/>
      <w:iCs/>
      <w:color w:val="0F4761" w:themeColor="accent1" w:themeShade="BF"/>
    </w:rPr>
  </w:style>
  <w:style w:type="paragraph" w:styleId="IntenseQuote">
    <w:name w:val="Intense Quote"/>
    <w:basedOn w:val="Normal"/>
    <w:next w:val="Normal"/>
    <w:link w:val="IntenseQuoteChar"/>
    <w:uiPriority w:val="30"/>
    <w:qFormat/>
    <w:rsid w:val="008B3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F3C"/>
    <w:rPr>
      <w:i/>
      <w:iCs/>
      <w:color w:val="0F4761" w:themeColor="accent1" w:themeShade="BF"/>
    </w:rPr>
  </w:style>
  <w:style w:type="character" w:styleId="IntenseReference">
    <w:name w:val="Intense Reference"/>
    <w:basedOn w:val="DefaultParagraphFont"/>
    <w:uiPriority w:val="32"/>
    <w:qFormat/>
    <w:rsid w:val="008B3F3C"/>
    <w:rPr>
      <w:b/>
      <w:bCs/>
      <w:smallCaps/>
      <w:color w:val="0F4761" w:themeColor="accent1" w:themeShade="BF"/>
      <w:spacing w:val="5"/>
    </w:rPr>
  </w:style>
  <w:style w:type="table" w:styleId="TableGrid">
    <w:name w:val="Table Grid"/>
    <w:basedOn w:val="TableNormal"/>
    <w:uiPriority w:val="59"/>
    <w:rsid w:val="008B3F3C"/>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
    <w:unhideWhenUsed/>
    <w:qFormat/>
    <w:rsid w:val="00DE2133"/>
    <w:pPr>
      <w:spacing w:after="0" w:line="240" w:lineRule="auto"/>
    </w:pPr>
    <w:rPr>
      <w:sz w:val="20"/>
      <w:szCs w:val="20"/>
    </w:rPr>
  </w:style>
  <w:style w:type="character" w:customStyle="1" w:styleId="FootnoteTextChar">
    <w:name w:val="Footnote Text Char"/>
    <w:aliases w:val="single space Char1,footnote text Char1,ft Char1,FOOTNOTES Char1,fn Char1,Footnote Text Char Char Char Char Char2,Footnote Text Char Char Char Char2,ADB Char1,Footnote Text Char Char Char Char Char Char1,Footnote Text Char Char1 Char1"/>
    <w:basedOn w:val="DefaultParagraphFont"/>
    <w:link w:val="FootnoteText"/>
    <w:rsid w:val="00DE2133"/>
    <w:rPr>
      <w:kern w:val="0"/>
      <w:sz w:val="20"/>
      <w:szCs w:val="20"/>
      <w:lang w:val="sr"/>
      <w14:ligatures w14:val="none"/>
    </w:rPr>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rsid w:val="00DE2133"/>
    <w:rPr>
      <w:vertAlign w:val="superscript"/>
    </w:rPr>
  </w:style>
  <w:style w:type="paragraph" w:customStyle="1" w:styleId="Char2">
    <w:name w:val="Char2"/>
    <w:basedOn w:val="Normal"/>
    <w:link w:val="FootnoteReference"/>
    <w:rsid w:val="00DE2133"/>
    <w:pPr>
      <w:spacing w:before="120" w:line="240" w:lineRule="exact"/>
      <w:ind w:left="547"/>
      <w:jc w:val="both"/>
    </w:pPr>
    <w:rPr>
      <w:kern w:val="2"/>
      <w:vertAlign w:val="superscript"/>
      <w14:ligatures w14:val="standardContextual"/>
    </w:rPr>
  </w:style>
  <w:style w:type="character" w:customStyle="1" w:styleId="FootnoteTextChar1">
    <w:name w:val="Footnote Text Char1"/>
    <w:aliases w:val="single space Char,footnote text Char,ft Char,FOOTNOTES Char,fn Char,Footnote Text Char Char Char Char Char1,Footnote Text Char Char Char Char1,ADB Char,Footnote Text Char Char Char Char Char Char,Footnote Text Char Char1 Char"/>
    <w:locked/>
    <w:rsid w:val="00311E41"/>
    <w:rPr>
      <w:rFonts w:ascii="Times New Roman" w:eastAsia="Times New Roman" w:hAnsi="Times New Roman" w:cs="Times New Roman"/>
      <w:sz w:val="24"/>
      <w:szCs w:val="24"/>
      <w:lang w:val="sr"/>
    </w:rPr>
  </w:style>
  <w:style w:type="character" w:styleId="CommentReference">
    <w:name w:val="annotation reference"/>
    <w:basedOn w:val="DefaultParagraphFont"/>
    <w:uiPriority w:val="99"/>
    <w:semiHidden/>
    <w:unhideWhenUsed/>
    <w:rsid w:val="008967C7"/>
    <w:rPr>
      <w:sz w:val="16"/>
      <w:szCs w:val="16"/>
    </w:rPr>
  </w:style>
  <w:style w:type="paragraph" w:styleId="CommentText">
    <w:name w:val="annotation text"/>
    <w:basedOn w:val="Normal"/>
    <w:link w:val="CommentTextChar"/>
    <w:uiPriority w:val="99"/>
    <w:unhideWhenUsed/>
    <w:rsid w:val="008967C7"/>
    <w:pPr>
      <w:spacing w:line="240" w:lineRule="auto"/>
    </w:pPr>
    <w:rPr>
      <w:sz w:val="20"/>
      <w:szCs w:val="20"/>
    </w:rPr>
  </w:style>
  <w:style w:type="character" w:customStyle="1" w:styleId="CommentTextChar">
    <w:name w:val="Comment Text Char"/>
    <w:basedOn w:val="DefaultParagraphFont"/>
    <w:link w:val="CommentText"/>
    <w:uiPriority w:val="99"/>
    <w:rsid w:val="008967C7"/>
    <w:rPr>
      <w:kern w:val="0"/>
      <w:sz w:val="20"/>
      <w:szCs w:val="20"/>
      <w:lang w:val="sr"/>
      <w14:ligatures w14:val="none"/>
    </w:rPr>
  </w:style>
  <w:style w:type="paragraph" w:styleId="CommentSubject">
    <w:name w:val="annotation subject"/>
    <w:basedOn w:val="CommentText"/>
    <w:next w:val="CommentText"/>
    <w:link w:val="CommentSubjectChar"/>
    <w:uiPriority w:val="99"/>
    <w:semiHidden/>
    <w:unhideWhenUsed/>
    <w:rsid w:val="008967C7"/>
    <w:rPr>
      <w:b/>
      <w:bCs/>
    </w:rPr>
  </w:style>
  <w:style w:type="character" w:customStyle="1" w:styleId="CommentSubjectChar">
    <w:name w:val="Comment Subject Char"/>
    <w:basedOn w:val="CommentTextChar"/>
    <w:link w:val="CommentSubject"/>
    <w:uiPriority w:val="99"/>
    <w:semiHidden/>
    <w:rsid w:val="008967C7"/>
    <w:rPr>
      <w:b/>
      <w:bCs/>
      <w:kern w:val="0"/>
      <w:sz w:val="20"/>
      <w:szCs w:val="20"/>
      <w:lang w:val="sr"/>
      <w14:ligatures w14:val="none"/>
    </w:rPr>
  </w:style>
  <w:style w:type="paragraph" w:styleId="Header">
    <w:name w:val="header"/>
    <w:basedOn w:val="Normal"/>
    <w:link w:val="HeaderChar"/>
    <w:uiPriority w:val="99"/>
    <w:unhideWhenUsed/>
    <w:rsid w:val="00FA5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697"/>
    <w:rPr>
      <w:kern w:val="0"/>
      <w:lang w:val="sr"/>
      <w14:ligatures w14:val="none"/>
    </w:rPr>
  </w:style>
  <w:style w:type="paragraph" w:styleId="Footer">
    <w:name w:val="footer"/>
    <w:basedOn w:val="Normal"/>
    <w:link w:val="FooterChar"/>
    <w:uiPriority w:val="99"/>
    <w:unhideWhenUsed/>
    <w:rsid w:val="00FA5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697"/>
    <w:rPr>
      <w:kern w:val="0"/>
      <w:lang w:val="sr"/>
      <w14:ligatures w14:val="none"/>
    </w:rPr>
  </w:style>
  <w:style w:type="paragraph" w:styleId="TOCHeading">
    <w:name w:val="TOC Heading"/>
    <w:basedOn w:val="Heading1"/>
    <w:next w:val="Normal"/>
    <w:uiPriority w:val="39"/>
    <w:unhideWhenUsed/>
    <w:qFormat/>
    <w:rsid w:val="00BA5A40"/>
    <w:pPr>
      <w:spacing w:before="240" w:after="0"/>
      <w:outlineLvl w:val="9"/>
    </w:pPr>
    <w:rPr>
      <w:sz w:val="32"/>
      <w:szCs w:val="32"/>
    </w:rPr>
  </w:style>
  <w:style w:type="paragraph" w:styleId="TOC1">
    <w:name w:val="toc 1"/>
    <w:basedOn w:val="Normal"/>
    <w:next w:val="Normal"/>
    <w:autoRedefine/>
    <w:uiPriority w:val="39"/>
    <w:unhideWhenUsed/>
    <w:rsid w:val="00BA5A40"/>
    <w:pPr>
      <w:spacing w:after="100"/>
    </w:pPr>
  </w:style>
  <w:style w:type="paragraph" w:styleId="TOC2">
    <w:name w:val="toc 2"/>
    <w:basedOn w:val="Normal"/>
    <w:next w:val="Normal"/>
    <w:autoRedefine/>
    <w:uiPriority w:val="39"/>
    <w:unhideWhenUsed/>
    <w:rsid w:val="00BA5A40"/>
    <w:pPr>
      <w:spacing w:after="100"/>
      <w:ind w:left="220"/>
    </w:pPr>
  </w:style>
  <w:style w:type="character" w:styleId="Hyperlink">
    <w:name w:val="Hyperlink"/>
    <w:basedOn w:val="DefaultParagraphFont"/>
    <w:uiPriority w:val="99"/>
    <w:unhideWhenUsed/>
    <w:rsid w:val="00BA5A40"/>
    <w:rPr>
      <w:color w:val="467886" w:themeColor="hyperlink"/>
      <w:u w:val="single"/>
    </w:rPr>
  </w:style>
  <w:style w:type="paragraph" w:styleId="Caption">
    <w:name w:val="caption"/>
    <w:basedOn w:val="Normal"/>
    <w:next w:val="Normal"/>
    <w:uiPriority w:val="35"/>
    <w:unhideWhenUsed/>
    <w:qFormat/>
    <w:rsid w:val="00E97E9B"/>
    <w:pPr>
      <w:spacing w:after="200" w:line="240" w:lineRule="auto"/>
    </w:pPr>
    <w:rPr>
      <w:i/>
      <w:iCs/>
      <w:color w:val="0E2841" w:themeColor="text2"/>
      <w:sz w:val="18"/>
      <w:szCs w:val="18"/>
    </w:rPr>
  </w:style>
  <w:style w:type="table" w:customStyle="1" w:styleId="PlainTable41">
    <w:name w:val="Plain Table 41"/>
    <w:basedOn w:val="TableNormal"/>
    <w:next w:val="PlainTable4"/>
    <w:uiPriority w:val="44"/>
    <w:rsid w:val="004A3A39"/>
    <w:pPr>
      <w:spacing w:after="0" w:line="240" w:lineRule="auto"/>
    </w:pPr>
    <w:rPr>
      <w:rFonts w:eastAsia="Aptos"/>
      <w:sz w:val="24"/>
      <w:szCs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4A3A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02468"/>
    <w:pPr>
      <w:spacing w:after="0" w:line="240" w:lineRule="auto"/>
    </w:pPr>
    <w:rPr>
      <w:kern w:val="0"/>
      <w14:ligatures w14:val="none"/>
    </w:rPr>
  </w:style>
  <w:style w:type="character" w:customStyle="1" w:styleId="ListParagraphChar">
    <w:name w:val="List Paragraph Char"/>
    <w:aliases w:val="List Paragraph (numbered (a)) Char,List Paragraph1 Char,Ha Char"/>
    <w:basedOn w:val="DefaultParagraphFont"/>
    <w:link w:val="ListParagraph"/>
    <w:uiPriority w:val="34"/>
    <w:locked/>
    <w:rsid w:val="0069543C"/>
    <w:rPr>
      <w:kern w:val="0"/>
      <w:lang w:val="sr"/>
      <w14:ligatures w14:val="none"/>
    </w:rPr>
  </w:style>
  <w:style w:type="paragraph" w:styleId="BalloonText">
    <w:name w:val="Balloon Text"/>
    <w:basedOn w:val="Normal"/>
    <w:link w:val="BalloonTextChar"/>
    <w:uiPriority w:val="99"/>
    <w:semiHidden/>
    <w:unhideWhenUsed/>
    <w:rsid w:val="0069543C"/>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543C"/>
    <w:rPr>
      <w:rFonts w:ascii="Segoe UI" w:eastAsiaTheme="minorHAnsi" w:hAnsi="Segoe UI" w:cs="Segoe UI"/>
      <w:kern w:val="0"/>
      <w:sz w:val="18"/>
      <w:szCs w:val="18"/>
      <w:lang w:val="sr"/>
      <w14:ligatures w14:val="none"/>
    </w:rPr>
  </w:style>
  <w:style w:type="character" w:styleId="FollowedHyperlink">
    <w:name w:val="FollowedHyperlink"/>
    <w:basedOn w:val="DefaultParagraphFont"/>
    <w:uiPriority w:val="99"/>
    <w:semiHidden/>
    <w:unhideWhenUsed/>
    <w:rsid w:val="0069543C"/>
    <w:rPr>
      <w:color w:val="96607D" w:themeColor="followedHyperlink"/>
      <w:u w:val="single"/>
    </w:rPr>
  </w:style>
  <w:style w:type="table" w:customStyle="1" w:styleId="TableGrid1">
    <w:name w:val="Table Grid1"/>
    <w:basedOn w:val="TableNormal"/>
    <w:next w:val="TableGrid"/>
    <w:uiPriority w:val="59"/>
    <w:rsid w:val="0069543C"/>
    <w:pPr>
      <w:spacing w:after="0" w:line="240" w:lineRule="auto"/>
    </w:pPr>
    <w:rPr>
      <w:rFonts w:ascii="Times New Roman" w:eastAsia="Times New Roman" w:hAnsi="Times New Roman" w:cs="Times New Roman"/>
      <w:kern w:val="0"/>
      <w:sz w:val="20"/>
      <w:szCs w:val="20"/>
      <w:lang w:eastAsia="de-C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69543C"/>
    <w:pPr>
      <w:spacing w:after="100"/>
      <w:ind w:left="440"/>
    </w:pPr>
    <w:rPr>
      <w:rFonts w:eastAsiaTheme="minorHAnsi"/>
    </w:rPr>
  </w:style>
  <w:style w:type="table" w:customStyle="1" w:styleId="TableGrid2">
    <w:name w:val="Table Grid2"/>
    <w:basedOn w:val="TableNormal"/>
    <w:next w:val="TableGrid"/>
    <w:uiPriority w:val="59"/>
    <w:rsid w:val="0069543C"/>
    <w:pPr>
      <w:spacing w:after="0" w:line="240" w:lineRule="auto"/>
    </w:pPr>
    <w:rPr>
      <w:rFonts w:ascii="Times New Roman" w:eastAsia="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695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543C"/>
  </w:style>
  <w:style w:type="character" w:customStyle="1" w:styleId="eop">
    <w:name w:val="eop"/>
    <w:basedOn w:val="DefaultParagraphFont"/>
    <w:rsid w:val="0069543C"/>
  </w:style>
  <w:style w:type="paragraph" w:customStyle="1" w:styleId="TableParagraph">
    <w:name w:val="Table Paragraph"/>
    <w:basedOn w:val="Normal"/>
    <w:uiPriority w:val="1"/>
    <w:qFormat/>
    <w:rsid w:val="000F315E"/>
    <w:pPr>
      <w:widowControl w:val="0"/>
      <w:autoSpaceDE w:val="0"/>
      <w:autoSpaceDN w:val="0"/>
      <w:spacing w:before="7" w:after="0" w:line="240" w:lineRule="auto"/>
      <w:jc w:val="right"/>
    </w:pPr>
    <w:rPr>
      <w:rFonts w:ascii="Trebuchet MS" w:eastAsia="Trebuchet MS" w:hAnsi="Trebuchet MS" w:cs="Trebuchet MS"/>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953">
      <w:bodyDiv w:val="1"/>
      <w:marLeft w:val="0"/>
      <w:marRight w:val="0"/>
      <w:marTop w:val="0"/>
      <w:marBottom w:val="0"/>
      <w:divBdr>
        <w:top w:val="none" w:sz="0" w:space="0" w:color="auto"/>
        <w:left w:val="none" w:sz="0" w:space="0" w:color="auto"/>
        <w:bottom w:val="none" w:sz="0" w:space="0" w:color="auto"/>
        <w:right w:val="none" w:sz="0" w:space="0" w:color="auto"/>
      </w:divBdr>
    </w:div>
    <w:div w:id="96872377">
      <w:bodyDiv w:val="1"/>
      <w:marLeft w:val="0"/>
      <w:marRight w:val="0"/>
      <w:marTop w:val="0"/>
      <w:marBottom w:val="0"/>
      <w:divBdr>
        <w:top w:val="none" w:sz="0" w:space="0" w:color="auto"/>
        <w:left w:val="none" w:sz="0" w:space="0" w:color="auto"/>
        <w:bottom w:val="none" w:sz="0" w:space="0" w:color="auto"/>
        <w:right w:val="none" w:sz="0" w:space="0" w:color="auto"/>
      </w:divBdr>
    </w:div>
    <w:div w:id="147790560">
      <w:bodyDiv w:val="1"/>
      <w:marLeft w:val="0"/>
      <w:marRight w:val="0"/>
      <w:marTop w:val="0"/>
      <w:marBottom w:val="0"/>
      <w:divBdr>
        <w:top w:val="none" w:sz="0" w:space="0" w:color="auto"/>
        <w:left w:val="none" w:sz="0" w:space="0" w:color="auto"/>
        <w:bottom w:val="none" w:sz="0" w:space="0" w:color="auto"/>
        <w:right w:val="none" w:sz="0" w:space="0" w:color="auto"/>
      </w:divBdr>
    </w:div>
    <w:div w:id="207184937">
      <w:bodyDiv w:val="1"/>
      <w:marLeft w:val="0"/>
      <w:marRight w:val="0"/>
      <w:marTop w:val="0"/>
      <w:marBottom w:val="0"/>
      <w:divBdr>
        <w:top w:val="none" w:sz="0" w:space="0" w:color="auto"/>
        <w:left w:val="none" w:sz="0" w:space="0" w:color="auto"/>
        <w:bottom w:val="none" w:sz="0" w:space="0" w:color="auto"/>
        <w:right w:val="none" w:sz="0" w:space="0" w:color="auto"/>
      </w:divBdr>
    </w:div>
    <w:div w:id="233971133">
      <w:bodyDiv w:val="1"/>
      <w:marLeft w:val="0"/>
      <w:marRight w:val="0"/>
      <w:marTop w:val="0"/>
      <w:marBottom w:val="0"/>
      <w:divBdr>
        <w:top w:val="none" w:sz="0" w:space="0" w:color="auto"/>
        <w:left w:val="none" w:sz="0" w:space="0" w:color="auto"/>
        <w:bottom w:val="none" w:sz="0" w:space="0" w:color="auto"/>
        <w:right w:val="none" w:sz="0" w:space="0" w:color="auto"/>
      </w:divBdr>
    </w:div>
    <w:div w:id="339311139">
      <w:bodyDiv w:val="1"/>
      <w:marLeft w:val="0"/>
      <w:marRight w:val="0"/>
      <w:marTop w:val="0"/>
      <w:marBottom w:val="0"/>
      <w:divBdr>
        <w:top w:val="none" w:sz="0" w:space="0" w:color="auto"/>
        <w:left w:val="none" w:sz="0" w:space="0" w:color="auto"/>
        <w:bottom w:val="none" w:sz="0" w:space="0" w:color="auto"/>
        <w:right w:val="none" w:sz="0" w:space="0" w:color="auto"/>
      </w:divBdr>
    </w:div>
    <w:div w:id="347372457">
      <w:bodyDiv w:val="1"/>
      <w:marLeft w:val="0"/>
      <w:marRight w:val="0"/>
      <w:marTop w:val="0"/>
      <w:marBottom w:val="0"/>
      <w:divBdr>
        <w:top w:val="none" w:sz="0" w:space="0" w:color="auto"/>
        <w:left w:val="none" w:sz="0" w:space="0" w:color="auto"/>
        <w:bottom w:val="none" w:sz="0" w:space="0" w:color="auto"/>
        <w:right w:val="none" w:sz="0" w:space="0" w:color="auto"/>
      </w:divBdr>
    </w:div>
    <w:div w:id="371002998">
      <w:bodyDiv w:val="1"/>
      <w:marLeft w:val="0"/>
      <w:marRight w:val="0"/>
      <w:marTop w:val="0"/>
      <w:marBottom w:val="0"/>
      <w:divBdr>
        <w:top w:val="none" w:sz="0" w:space="0" w:color="auto"/>
        <w:left w:val="none" w:sz="0" w:space="0" w:color="auto"/>
        <w:bottom w:val="none" w:sz="0" w:space="0" w:color="auto"/>
        <w:right w:val="none" w:sz="0" w:space="0" w:color="auto"/>
      </w:divBdr>
    </w:div>
    <w:div w:id="411853772">
      <w:bodyDiv w:val="1"/>
      <w:marLeft w:val="0"/>
      <w:marRight w:val="0"/>
      <w:marTop w:val="0"/>
      <w:marBottom w:val="0"/>
      <w:divBdr>
        <w:top w:val="none" w:sz="0" w:space="0" w:color="auto"/>
        <w:left w:val="none" w:sz="0" w:space="0" w:color="auto"/>
        <w:bottom w:val="none" w:sz="0" w:space="0" w:color="auto"/>
        <w:right w:val="none" w:sz="0" w:space="0" w:color="auto"/>
      </w:divBdr>
    </w:div>
    <w:div w:id="494345965">
      <w:bodyDiv w:val="1"/>
      <w:marLeft w:val="0"/>
      <w:marRight w:val="0"/>
      <w:marTop w:val="0"/>
      <w:marBottom w:val="0"/>
      <w:divBdr>
        <w:top w:val="none" w:sz="0" w:space="0" w:color="auto"/>
        <w:left w:val="none" w:sz="0" w:space="0" w:color="auto"/>
        <w:bottom w:val="none" w:sz="0" w:space="0" w:color="auto"/>
        <w:right w:val="none" w:sz="0" w:space="0" w:color="auto"/>
      </w:divBdr>
    </w:div>
    <w:div w:id="554972009">
      <w:bodyDiv w:val="1"/>
      <w:marLeft w:val="0"/>
      <w:marRight w:val="0"/>
      <w:marTop w:val="0"/>
      <w:marBottom w:val="0"/>
      <w:divBdr>
        <w:top w:val="none" w:sz="0" w:space="0" w:color="auto"/>
        <w:left w:val="none" w:sz="0" w:space="0" w:color="auto"/>
        <w:bottom w:val="none" w:sz="0" w:space="0" w:color="auto"/>
        <w:right w:val="none" w:sz="0" w:space="0" w:color="auto"/>
      </w:divBdr>
    </w:div>
    <w:div w:id="583612158">
      <w:bodyDiv w:val="1"/>
      <w:marLeft w:val="0"/>
      <w:marRight w:val="0"/>
      <w:marTop w:val="0"/>
      <w:marBottom w:val="0"/>
      <w:divBdr>
        <w:top w:val="none" w:sz="0" w:space="0" w:color="auto"/>
        <w:left w:val="none" w:sz="0" w:space="0" w:color="auto"/>
        <w:bottom w:val="none" w:sz="0" w:space="0" w:color="auto"/>
        <w:right w:val="none" w:sz="0" w:space="0" w:color="auto"/>
      </w:divBdr>
    </w:div>
    <w:div w:id="585840488">
      <w:bodyDiv w:val="1"/>
      <w:marLeft w:val="0"/>
      <w:marRight w:val="0"/>
      <w:marTop w:val="0"/>
      <w:marBottom w:val="0"/>
      <w:divBdr>
        <w:top w:val="none" w:sz="0" w:space="0" w:color="auto"/>
        <w:left w:val="none" w:sz="0" w:space="0" w:color="auto"/>
        <w:bottom w:val="none" w:sz="0" w:space="0" w:color="auto"/>
        <w:right w:val="none" w:sz="0" w:space="0" w:color="auto"/>
      </w:divBdr>
    </w:div>
    <w:div w:id="589890659">
      <w:bodyDiv w:val="1"/>
      <w:marLeft w:val="0"/>
      <w:marRight w:val="0"/>
      <w:marTop w:val="0"/>
      <w:marBottom w:val="0"/>
      <w:divBdr>
        <w:top w:val="none" w:sz="0" w:space="0" w:color="auto"/>
        <w:left w:val="none" w:sz="0" w:space="0" w:color="auto"/>
        <w:bottom w:val="none" w:sz="0" w:space="0" w:color="auto"/>
        <w:right w:val="none" w:sz="0" w:space="0" w:color="auto"/>
      </w:divBdr>
    </w:div>
    <w:div w:id="622351501">
      <w:bodyDiv w:val="1"/>
      <w:marLeft w:val="0"/>
      <w:marRight w:val="0"/>
      <w:marTop w:val="0"/>
      <w:marBottom w:val="0"/>
      <w:divBdr>
        <w:top w:val="none" w:sz="0" w:space="0" w:color="auto"/>
        <w:left w:val="none" w:sz="0" w:space="0" w:color="auto"/>
        <w:bottom w:val="none" w:sz="0" w:space="0" w:color="auto"/>
        <w:right w:val="none" w:sz="0" w:space="0" w:color="auto"/>
      </w:divBdr>
    </w:div>
    <w:div w:id="632255467">
      <w:bodyDiv w:val="1"/>
      <w:marLeft w:val="0"/>
      <w:marRight w:val="0"/>
      <w:marTop w:val="0"/>
      <w:marBottom w:val="0"/>
      <w:divBdr>
        <w:top w:val="none" w:sz="0" w:space="0" w:color="auto"/>
        <w:left w:val="none" w:sz="0" w:space="0" w:color="auto"/>
        <w:bottom w:val="none" w:sz="0" w:space="0" w:color="auto"/>
        <w:right w:val="none" w:sz="0" w:space="0" w:color="auto"/>
      </w:divBdr>
    </w:div>
    <w:div w:id="863326835">
      <w:bodyDiv w:val="1"/>
      <w:marLeft w:val="0"/>
      <w:marRight w:val="0"/>
      <w:marTop w:val="0"/>
      <w:marBottom w:val="0"/>
      <w:divBdr>
        <w:top w:val="none" w:sz="0" w:space="0" w:color="auto"/>
        <w:left w:val="none" w:sz="0" w:space="0" w:color="auto"/>
        <w:bottom w:val="none" w:sz="0" w:space="0" w:color="auto"/>
        <w:right w:val="none" w:sz="0" w:space="0" w:color="auto"/>
      </w:divBdr>
    </w:div>
    <w:div w:id="945120637">
      <w:bodyDiv w:val="1"/>
      <w:marLeft w:val="0"/>
      <w:marRight w:val="0"/>
      <w:marTop w:val="0"/>
      <w:marBottom w:val="0"/>
      <w:divBdr>
        <w:top w:val="none" w:sz="0" w:space="0" w:color="auto"/>
        <w:left w:val="none" w:sz="0" w:space="0" w:color="auto"/>
        <w:bottom w:val="none" w:sz="0" w:space="0" w:color="auto"/>
        <w:right w:val="none" w:sz="0" w:space="0" w:color="auto"/>
      </w:divBdr>
    </w:div>
    <w:div w:id="976689427">
      <w:bodyDiv w:val="1"/>
      <w:marLeft w:val="0"/>
      <w:marRight w:val="0"/>
      <w:marTop w:val="0"/>
      <w:marBottom w:val="0"/>
      <w:divBdr>
        <w:top w:val="none" w:sz="0" w:space="0" w:color="auto"/>
        <w:left w:val="none" w:sz="0" w:space="0" w:color="auto"/>
        <w:bottom w:val="none" w:sz="0" w:space="0" w:color="auto"/>
        <w:right w:val="none" w:sz="0" w:space="0" w:color="auto"/>
      </w:divBdr>
    </w:div>
    <w:div w:id="1003892474">
      <w:bodyDiv w:val="1"/>
      <w:marLeft w:val="0"/>
      <w:marRight w:val="0"/>
      <w:marTop w:val="0"/>
      <w:marBottom w:val="0"/>
      <w:divBdr>
        <w:top w:val="none" w:sz="0" w:space="0" w:color="auto"/>
        <w:left w:val="none" w:sz="0" w:space="0" w:color="auto"/>
        <w:bottom w:val="none" w:sz="0" w:space="0" w:color="auto"/>
        <w:right w:val="none" w:sz="0" w:space="0" w:color="auto"/>
      </w:divBdr>
    </w:div>
    <w:div w:id="1137186142">
      <w:bodyDiv w:val="1"/>
      <w:marLeft w:val="0"/>
      <w:marRight w:val="0"/>
      <w:marTop w:val="0"/>
      <w:marBottom w:val="0"/>
      <w:divBdr>
        <w:top w:val="none" w:sz="0" w:space="0" w:color="auto"/>
        <w:left w:val="none" w:sz="0" w:space="0" w:color="auto"/>
        <w:bottom w:val="none" w:sz="0" w:space="0" w:color="auto"/>
        <w:right w:val="none" w:sz="0" w:space="0" w:color="auto"/>
      </w:divBdr>
    </w:div>
    <w:div w:id="1147281425">
      <w:bodyDiv w:val="1"/>
      <w:marLeft w:val="0"/>
      <w:marRight w:val="0"/>
      <w:marTop w:val="0"/>
      <w:marBottom w:val="0"/>
      <w:divBdr>
        <w:top w:val="none" w:sz="0" w:space="0" w:color="auto"/>
        <w:left w:val="none" w:sz="0" w:space="0" w:color="auto"/>
        <w:bottom w:val="none" w:sz="0" w:space="0" w:color="auto"/>
        <w:right w:val="none" w:sz="0" w:space="0" w:color="auto"/>
      </w:divBdr>
    </w:div>
    <w:div w:id="1186140446">
      <w:bodyDiv w:val="1"/>
      <w:marLeft w:val="0"/>
      <w:marRight w:val="0"/>
      <w:marTop w:val="0"/>
      <w:marBottom w:val="0"/>
      <w:divBdr>
        <w:top w:val="none" w:sz="0" w:space="0" w:color="auto"/>
        <w:left w:val="none" w:sz="0" w:space="0" w:color="auto"/>
        <w:bottom w:val="none" w:sz="0" w:space="0" w:color="auto"/>
        <w:right w:val="none" w:sz="0" w:space="0" w:color="auto"/>
      </w:divBdr>
    </w:div>
    <w:div w:id="1202399083">
      <w:bodyDiv w:val="1"/>
      <w:marLeft w:val="0"/>
      <w:marRight w:val="0"/>
      <w:marTop w:val="0"/>
      <w:marBottom w:val="0"/>
      <w:divBdr>
        <w:top w:val="none" w:sz="0" w:space="0" w:color="auto"/>
        <w:left w:val="none" w:sz="0" w:space="0" w:color="auto"/>
        <w:bottom w:val="none" w:sz="0" w:space="0" w:color="auto"/>
        <w:right w:val="none" w:sz="0" w:space="0" w:color="auto"/>
      </w:divBdr>
    </w:div>
    <w:div w:id="1259800653">
      <w:bodyDiv w:val="1"/>
      <w:marLeft w:val="0"/>
      <w:marRight w:val="0"/>
      <w:marTop w:val="0"/>
      <w:marBottom w:val="0"/>
      <w:divBdr>
        <w:top w:val="none" w:sz="0" w:space="0" w:color="auto"/>
        <w:left w:val="none" w:sz="0" w:space="0" w:color="auto"/>
        <w:bottom w:val="none" w:sz="0" w:space="0" w:color="auto"/>
        <w:right w:val="none" w:sz="0" w:space="0" w:color="auto"/>
      </w:divBdr>
    </w:div>
    <w:div w:id="1391920338">
      <w:bodyDiv w:val="1"/>
      <w:marLeft w:val="0"/>
      <w:marRight w:val="0"/>
      <w:marTop w:val="0"/>
      <w:marBottom w:val="0"/>
      <w:divBdr>
        <w:top w:val="none" w:sz="0" w:space="0" w:color="auto"/>
        <w:left w:val="none" w:sz="0" w:space="0" w:color="auto"/>
        <w:bottom w:val="none" w:sz="0" w:space="0" w:color="auto"/>
        <w:right w:val="none" w:sz="0" w:space="0" w:color="auto"/>
      </w:divBdr>
    </w:div>
    <w:div w:id="1397431712">
      <w:bodyDiv w:val="1"/>
      <w:marLeft w:val="0"/>
      <w:marRight w:val="0"/>
      <w:marTop w:val="0"/>
      <w:marBottom w:val="0"/>
      <w:divBdr>
        <w:top w:val="none" w:sz="0" w:space="0" w:color="auto"/>
        <w:left w:val="none" w:sz="0" w:space="0" w:color="auto"/>
        <w:bottom w:val="none" w:sz="0" w:space="0" w:color="auto"/>
        <w:right w:val="none" w:sz="0" w:space="0" w:color="auto"/>
      </w:divBdr>
    </w:div>
    <w:div w:id="1400635894">
      <w:bodyDiv w:val="1"/>
      <w:marLeft w:val="0"/>
      <w:marRight w:val="0"/>
      <w:marTop w:val="0"/>
      <w:marBottom w:val="0"/>
      <w:divBdr>
        <w:top w:val="none" w:sz="0" w:space="0" w:color="auto"/>
        <w:left w:val="none" w:sz="0" w:space="0" w:color="auto"/>
        <w:bottom w:val="none" w:sz="0" w:space="0" w:color="auto"/>
        <w:right w:val="none" w:sz="0" w:space="0" w:color="auto"/>
      </w:divBdr>
    </w:div>
    <w:div w:id="1427462495">
      <w:bodyDiv w:val="1"/>
      <w:marLeft w:val="0"/>
      <w:marRight w:val="0"/>
      <w:marTop w:val="0"/>
      <w:marBottom w:val="0"/>
      <w:divBdr>
        <w:top w:val="none" w:sz="0" w:space="0" w:color="auto"/>
        <w:left w:val="none" w:sz="0" w:space="0" w:color="auto"/>
        <w:bottom w:val="none" w:sz="0" w:space="0" w:color="auto"/>
        <w:right w:val="none" w:sz="0" w:space="0" w:color="auto"/>
      </w:divBdr>
    </w:div>
    <w:div w:id="1480926538">
      <w:bodyDiv w:val="1"/>
      <w:marLeft w:val="0"/>
      <w:marRight w:val="0"/>
      <w:marTop w:val="0"/>
      <w:marBottom w:val="0"/>
      <w:divBdr>
        <w:top w:val="none" w:sz="0" w:space="0" w:color="auto"/>
        <w:left w:val="none" w:sz="0" w:space="0" w:color="auto"/>
        <w:bottom w:val="none" w:sz="0" w:space="0" w:color="auto"/>
        <w:right w:val="none" w:sz="0" w:space="0" w:color="auto"/>
      </w:divBdr>
    </w:div>
    <w:div w:id="1550532447">
      <w:bodyDiv w:val="1"/>
      <w:marLeft w:val="0"/>
      <w:marRight w:val="0"/>
      <w:marTop w:val="0"/>
      <w:marBottom w:val="0"/>
      <w:divBdr>
        <w:top w:val="none" w:sz="0" w:space="0" w:color="auto"/>
        <w:left w:val="none" w:sz="0" w:space="0" w:color="auto"/>
        <w:bottom w:val="none" w:sz="0" w:space="0" w:color="auto"/>
        <w:right w:val="none" w:sz="0" w:space="0" w:color="auto"/>
      </w:divBdr>
    </w:div>
    <w:div w:id="1934126989">
      <w:bodyDiv w:val="1"/>
      <w:marLeft w:val="0"/>
      <w:marRight w:val="0"/>
      <w:marTop w:val="0"/>
      <w:marBottom w:val="0"/>
      <w:divBdr>
        <w:top w:val="none" w:sz="0" w:space="0" w:color="auto"/>
        <w:left w:val="none" w:sz="0" w:space="0" w:color="auto"/>
        <w:bottom w:val="none" w:sz="0" w:space="0" w:color="auto"/>
        <w:right w:val="none" w:sz="0" w:space="0" w:color="auto"/>
      </w:divBdr>
    </w:div>
    <w:div w:id="2086878201">
      <w:bodyDiv w:val="1"/>
      <w:marLeft w:val="0"/>
      <w:marRight w:val="0"/>
      <w:marTop w:val="0"/>
      <w:marBottom w:val="0"/>
      <w:divBdr>
        <w:top w:val="none" w:sz="0" w:space="0" w:color="auto"/>
        <w:left w:val="none" w:sz="0" w:space="0" w:color="auto"/>
        <w:bottom w:val="none" w:sz="0" w:space="0" w:color="auto"/>
        <w:right w:val="none" w:sz="0" w:space="0" w:color="auto"/>
      </w:divBdr>
    </w:div>
    <w:div w:id="212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chart" Target="charts/chart20.xml"/><Relationship Id="rId47" Type="http://schemas.openxmlformats.org/officeDocument/2006/relationships/chart" Target="charts/chart25.xml"/><Relationship Id="rId63" Type="http://schemas.openxmlformats.org/officeDocument/2006/relationships/chart" Target="charts/chart41.xml"/><Relationship Id="rId68" Type="http://schemas.openxmlformats.org/officeDocument/2006/relationships/chart" Target="charts/chart46.xml"/><Relationship Id="rId84" Type="http://schemas.openxmlformats.org/officeDocument/2006/relationships/chart" Target="charts/chart62.xml"/><Relationship Id="rId89" Type="http://schemas.openxmlformats.org/officeDocument/2006/relationships/chart" Target="charts/chart67.xml"/><Relationship Id="rId16" Type="http://schemas.openxmlformats.org/officeDocument/2006/relationships/image" Target="media/image5.jpeg"/><Relationship Id="rId107" Type="http://schemas.openxmlformats.org/officeDocument/2006/relationships/chart" Target="charts/chart85.xml"/><Relationship Id="rId11" Type="http://schemas.openxmlformats.org/officeDocument/2006/relationships/chart" Target="charts/chart2.xml"/><Relationship Id="rId32" Type="http://schemas.openxmlformats.org/officeDocument/2006/relationships/image" Target="media/image11.emf"/><Relationship Id="rId37" Type="http://schemas.openxmlformats.org/officeDocument/2006/relationships/chart" Target="charts/chart16.xml"/><Relationship Id="rId53" Type="http://schemas.openxmlformats.org/officeDocument/2006/relationships/chart" Target="charts/chart31.xml"/><Relationship Id="rId58" Type="http://schemas.openxmlformats.org/officeDocument/2006/relationships/chart" Target="charts/chart36.xml"/><Relationship Id="rId74" Type="http://schemas.openxmlformats.org/officeDocument/2006/relationships/chart" Target="charts/chart52.xml"/><Relationship Id="rId79" Type="http://schemas.openxmlformats.org/officeDocument/2006/relationships/chart" Target="charts/chart57.xml"/><Relationship Id="rId102" Type="http://schemas.openxmlformats.org/officeDocument/2006/relationships/chart" Target="charts/chart80.xml"/><Relationship Id="rId5" Type="http://schemas.openxmlformats.org/officeDocument/2006/relationships/webSettings" Target="webSettings.xml"/><Relationship Id="rId90" Type="http://schemas.openxmlformats.org/officeDocument/2006/relationships/chart" Target="charts/chart68.xml"/><Relationship Id="rId95" Type="http://schemas.openxmlformats.org/officeDocument/2006/relationships/chart" Target="charts/chart73.xml"/><Relationship Id="rId22" Type="http://schemas.openxmlformats.org/officeDocument/2006/relationships/chart" Target="charts/chart9.xml"/><Relationship Id="rId27" Type="http://schemas.openxmlformats.org/officeDocument/2006/relationships/chart" Target="charts/chart14.xml"/><Relationship Id="rId43" Type="http://schemas.openxmlformats.org/officeDocument/2006/relationships/chart" Target="charts/chart21.xml"/><Relationship Id="rId48" Type="http://schemas.openxmlformats.org/officeDocument/2006/relationships/chart" Target="charts/chart26.xml"/><Relationship Id="rId64" Type="http://schemas.openxmlformats.org/officeDocument/2006/relationships/chart" Target="charts/chart42.xml"/><Relationship Id="rId69" Type="http://schemas.openxmlformats.org/officeDocument/2006/relationships/chart" Target="charts/chart47.xml"/><Relationship Id="rId80" Type="http://schemas.openxmlformats.org/officeDocument/2006/relationships/chart" Target="charts/chart58.xml"/><Relationship Id="rId85" Type="http://schemas.openxmlformats.org/officeDocument/2006/relationships/chart" Target="charts/chart63.xml"/><Relationship Id="rId12" Type="http://schemas.openxmlformats.org/officeDocument/2006/relationships/chart" Target="charts/chart3.xml"/><Relationship Id="rId17" Type="http://schemas.openxmlformats.org/officeDocument/2006/relationships/image" Target="media/image6.jpeg"/><Relationship Id="rId33" Type="http://schemas.openxmlformats.org/officeDocument/2006/relationships/image" Target="media/image12.emf"/><Relationship Id="rId38" Type="http://schemas.openxmlformats.org/officeDocument/2006/relationships/header" Target="header1.xml"/><Relationship Id="rId59" Type="http://schemas.openxmlformats.org/officeDocument/2006/relationships/chart" Target="charts/chart37.xml"/><Relationship Id="rId103" Type="http://schemas.openxmlformats.org/officeDocument/2006/relationships/chart" Target="charts/chart81.xml"/><Relationship Id="rId108" Type="http://schemas.openxmlformats.org/officeDocument/2006/relationships/fontTable" Target="fontTable.xml"/><Relationship Id="rId54" Type="http://schemas.openxmlformats.org/officeDocument/2006/relationships/chart" Target="charts/chart32.xml"/><Relationship Id="rId70" Type="http://schemas.openxmlformats.org/officeDocument/2006/relationships/chart" Target="charts/chart48.xml"/><Relationship Id="rId75" Type="http://schemas.openxmlformats.org/officeDocument/2006/relationships/chart" Target="charts/chart53.xml"/><Relationship Id="rId91" Type="http://schemas.openxmlformats.org/officeDocument/2006/relationships/chart" Target="charts/chart69.xml"/><Relationship Id="rId96" Type="http://schemas.openxmlformats.org/officeDocument/2006/relationships/chart" Target="charts/chart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chart" Target="charts/chart10.xml"/><Relationship Id="rId28" Type="http://schemas.openxmlformats.org/officeDocument/2006/relationships/image" Target="media/image7.emf"/><Relationship Id="rId36" Type="http://schemas.openxmlformats.org/officeDocument/2006/relationships/chart" Target="charts/chart15.xml"/><Relationship Id="rId49" Type="http://schemas.openxmlformats.org/officeDocument/2006/relationships/chart" Target="charts/chart27.xml"/><Relationship Id="rId57" Type="http://schemas.openxmlformats.org/officeDocument/2006/relationships/chart" Target="charts/chart35.xml"/><Relationship Id="rId106" Type="http://schemas.openxmlformats.org/officeDocument/2006/relationships/chart" Target="charts/chart84.xml"/><Relationship Id="rId10" Type="http://schemas.openxmlformats.org/officeDocument/2006/relationships/chart" Target="charts/chart1.xml"/><Relationship Id="rId31" Type="http://schemas.openxmlformats.org/officeDocument/2006/relationships/image" Target="media/image10.emf"/><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chart" Target="charts/chart38.xml"/><Relationship Id="rId65" Type="http://schemas.openxmlformats.org/officeDocument/2006/relationships/chart" Target="charts/chart43.xml"/><Relationship Id="rId73" Type="http://schemas.openxmlformats.org/officeDocument/2006/relationships/chart" Target="charts/chart51.xml"/><Relationship Id="rId78" Type="http://schemas.openxmlformats.org/officeDocument/2006/relationships/chart" Target="charts/chart56.xml"/><Relationship Id="rId81" Type="http://schemas.openxmlformats.org/officeDocument/2006/relationships/chart" Target="charts/chart59.xml"/><Relationship Id="rId86" Type="http://schemas.openxmlformats.org/officeDocument/2006/relationships/chart" Target="charts/chart64.xml"/><Relationship Id="rId94" Type="http://schemas.openxmlformats.org/officeDocument/2006/relationships/chart" Target="charts/chart72.xml"/><Relationship Id="rId99" Type="http://schemas.openxmlformats.org/officeDocument/2006/relationships/chart" Target="charts/chart77.xml"/><Relationship Id="rId101" Type="http://schemas.openxmlformats.org/officeDocument/2006/relationships/chart" Target="charts/chart79.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5.xml"/><Relationship Id="rId39" Type="http://schemas.openxmlformats.org/officeDocument/2006/relationships/chart" Target="charts/chart17.xml"/><Relationship Id="rId109" Type="http://schemas.openxmlformats.org/officeDocument/2006/relationships/theme" Target="theme/theme1.xml"/><Relationship Id="rId34" Type="http://schemas.openxmlformats.org/officeDocument/2006/relationships/footer" Target="footer1.xml"/><Relationship Id="rId50" Type="http://schemas.openxmlformats.org/officeDocument/2006/relationships/chart" Target="charts/chart28.xml"/><Relationship Id="rId55" Type="http://schemas.openxmlformats.org/officeDocument/2006/relationships/chart" Target="charts/chart33.xml"/><Relationship Id="rId76" Type="http://schemas.openxmlformats.org/officeDocument/2006/relationships/chart" Target="charts/chart54.xml"/><Relationship Id="rId97" Type="http://schemas.openxmlformats.org/officeDocument/2006/relationships/chart" Target="charts/chart75.xml"/><Relationship Id="rId104" Type="http://schemas.openxmlformats.org/officeDocument/2006/relationships/chart" Target="charts/chart82.xml"/><Relationship Id="rId7" Type="http://schemas.openxmlformats.org/officeDocument/2006/relationships/endnotes" Target="endnotes.xml"/><Relationship Id="rId71" Type="http://schemas.openxmlformats.org/officeDocument/2006/relationships/chart" Target="charts/chart49.xml"/><Relationship Id="rId92" Type="http://schemas.openxmlformats.org/officeDocument/2006/relationships/chart" Target="charts/chart70.xml"/><Relationship Id="rId2" Type="http://schemas.openxmlformats.org/officeDocument/2006/relationships/numbering" Target="numbering.xml"/><Relationship Id="rId29" Type="http://schemas.openxmlformats.org/officeDocument/2006/relationships/image" Target="media/image8.emf"/><Relationship Id="rId24" Type="http://schemas.openxmlformats.org/officeDocument/2006/relationships/chart" Target="charts/chart11.xml"/><Relationship Id="rId40" Type="http://schemas.openxmlformats.org/officeDocument/2006/relationships/chart" Target="charts/chart18.xml"/><Relationship Id="rId45" Type="http://schemas.openxmlformats.org/officeDocument/2006/relationships/chart" Target="charts/chart23.xml"/><Relationship Id="rId66" Type="http://schemas.openxmlformats.org/officeDocument/2006/relationships/chart" Target="charts/chart44.xml"/><Relationship Id="rId87" Type="http://schemas.openxmlformats.org/officeDocument/2006/relationships/chart" Target="charts/chart65.xml"/><Relationship Id="rId61" Type="http://schemas.openxmlformats.org/officeDocument/2006/relationships/chart" Target="charts/chart39.xml"/><Relationship Id="rId82" Type="http://schemas.openxmlformats.org/officeDocument/2006/relationships/chart" Target="charts/chart60.xml"/><Relationship Id="rId19" Type="http://schemas.openxmlformats.org/officeDocument/2006/relationships/chart" Target="charts/chart6.xml"/><Relationship Id="rId14" Type="http://schemas.openxmlformats.org/officeDocument/2006/relationships/image" Target="media/image3.jpeg"/><Relationship Id="rId30" Type="http://schemas.openxmlformats.org/officeDocument/2006/relationships/image" Target="media/image9.emf"/><Relationship Id="rId35" Type="http://schemas.openxmlformats.org/officeDocument/2006/relationships/image" Target="media/image13.emf"/><Relationship Id="rId56" Type="http://schemas.openxmlformats.org/officeDocument/2006/relationships/chart" Target="charts/chart34.xml"/><Relationship Id="rId77" Type="http://schemas.openxmlformats.org/officeDocument/2006/relationships/chart" Target="charts/chart55.xml"/><Relationship Id="rId100" Type="http://schemas.openxmlformats.org/officeDocument/2006/relationships/chart" Target="charts/chart78.xml"/><Relationship Id="rId105" Type="http://schemas.openxmlformats.org/officeDocument/2006/relationships/chart" Target="charts/chart83.xml"/><Relationship Id="rId8" Type="http://schemas.openxmlformats.org/officeDocument/2006/relationships/image" Target="media/image1.png"/><Relationship Id="rId51" Type="http://schemas.openxmlformats.org/officeDocument/2006/relationships/chart" Target="charts/chart29.xml"/><Relationship Id="rId72" Type="http://schemas.openxmlformats.org/officeDocument/2006/relationships/chart" Target="charts/chart50.xml"/><Relationship Id="rId93" Type="http://schemas.openxmlformats.org/officeDocument/2006/relationships/chart" Target="charts/chart71.xml"/><Relationship Id="rId98" Type="http://schemas.openxmlformats.org/officeDocument/2006/relationships/chart" Target="charts/chart76.xml"/><Relationship Id="rId3" Type="http://schemas.openxmlformats.org/officeDocument/2006/relationships/styles" Target="styles.xml"/><Relationship Id="rId25" Type="http://schemas.openxmlformats.org/officeDocument/2006/relationships/chart" Target="charts/chart12.xml"/><Relationship Id="rId46" Type="http://schemas.openxmlformats.org/officeDocument/2006/relationships/chart" Target="charts/chart24.xml"/><Relationship Id="rId67" Type="http://schemas.openxmlformats.org/officeDocument/2006/relationships/chart" Target="charts/chart45.xml"/><Relationship Id="rId20" Type="http://schemas.openxmlformats.org/officeDocument/2006/relationships/chart" Target="charts/chart7.xml"/><Relationship Id="rId41" Type="http://schemas.openxmlformats.org/officeDocument/2006/relationships/chart" Target="charts/chart19.xml"/><Relationship Id="rId62" Type="http://schemas.openxmlformats.org/officeDocument/2006/relationships/chart" Target="charts/chart40.xml"/><Relationship Id="rId83" Type="http://schemas.openxmlformats.org/officeDocument/2006/relationships/chart" Target="charts/chart61.xml"/><Relationship Id="rId88" Type="http://schemas.openxmlformats.org/officeDocument/2006/relationships/chart" Target="charts/chart6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5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49.xml"/><Relationship Id="rId1" Type="http://schemas.microsoft.com/office/2011/relationships/chartStyle" Target="style49.xml"/></Relationships>
</file>

<file path=word/charts/_rels/chart5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0.xml"/><Relationship Id="rId1" Type="http://schemas.microsoft.com/office/2011/relationships/chartStyle" Target="style50.xml"/></Relationships>
</file>

<file path=word/charts/_rels/chart5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1.xml"/><Relationship Id="rId1" Type="http://schemas.microsoft.com/office/2011/relationships/chartStyle" Target="style51.xml"/></Relationships>
</file>

<file path=word/charts/_rels/chart5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2.xml"/><Relationship Id="rId1" Type="http://schemas.microsoft.com/office/2011/relationships/chartStyle" Target="style52.xml"/></Relationships>
</file>

<file path=word/charts/_rels/chart5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3.xml"/><Relationship Id="rId1" Type="http://schemas.microsoft.com/office/2011/relationships/chartStyle" Target="style53.xml"/></Relationships>
</file>

<file path=word/charts/_rels/chart5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4.xml"/><Relationship Id="rId1" Type="http://schemas.microsoft.com/office/2011/relationships/chartStyle" Target="style54.xml"/></Relationships>
</file>

<file path=word/charts/_rels/chart5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5.xml"/><Relationship Id="rId1" Type="http://schemas.microsoft.com/office/2011/relationships/chartStyle" Target="style55.xml"/></Relationships>
</file>

<file path=word/charts/_rels/chart5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6.xml"/><Relationship Id="rId1" Type="http://schemas.microsoft.com/office/2011/relationships/chartStyle" Target="style56.xml"/></Relationships>
</file>

<file path=word/charts/_rels/chart5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7.xml"/><Relationship Id="rId1" Type="http://schemas.microsoft.com/office/2011/relationships/chartStyle" Target="style57.xml"/></Relationships>
</file>

<file path=word/charts/_rels/chart5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8.xml"/><Relationship Id="rId1" Type="http://schemas.microsoft.com/office/2011/relationships/chartStyle" Target="style58.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randa.husaj\Desktop\MAPL-Raporti%20i%20ri\SRB%20-%20Databaza%20me%20grafe-finale.xlsx" TargetMode="External"/><Relationship Id="rId2" Type="http://schemas.microsoft.com/office/2011/relationships/chartColorStyle" Target="colors6.xml"/><Relationship Id="rId1" Type="http://schemas.microsoft.com/office/2011/relationships/chartStyle" Target="style6.xml"/></Relationships>
</file>

<file path=word/charts/_rels/chart6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59.xml"/><Relationship Id="rId1" Type="http://schemas.microsoft.com/office/2011/relationships/chartStyle" Target="style59.xml"/></Relationships>
</file>

<file path=word/charts/_rels/chart6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0.xml"/><Relationship Id="rId1" Type="http://schemas.microsoft.com/office/2011/relationships/chartStyle" Target="style60.xml"/></Relationships>
</file>

<file path=word/charts/_rels/chart6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1.xml"/><Relationship Id="rId1" Type="http://schemas.microsoft.com/office/2011/relationships/chartStyle" Target="style61.xml"/></Relationships>
</file>

<file path=word/charts/_rels/chart6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2.xml"/><Relationship Id="rId1" Type="http://schemas.microsoft.com/office/2011/relationships/chartStyle" Target="style62.xml"/></Relationships>
</file>

<file path=word/charts/_rels/chart6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3.xml"/><Relationship Id="rId1" Type="http://schemas.microsoft.com/office/2011/relationships/chartStyle" Target="style63.xml"/></Relationships>
</file>

<file path=word/charts/_rels/chart6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4.xml"/><Relationship Id="rId1" Type="http://schemas.microsoft.com/office/2011/relationships/chartStyle" Target="style64.xml"/></Relationships>
</file>

<file path=word/charts/_rels/chart6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5.xml"/><Relationship Id="rId1" Type="http://schemas.microsoft.com/office/2011/relationships/chartStyle" Target="style65.xml"/></Relationships>
</file>

<file path=word/charts/_rels/chart6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6.xml"/><Relationship Id="rId1" Type="http://schemas.microsoft.com/office/2011/relationships/chartStyle" Target="style66.xml"/></Relationships>
</file>

<file path=word/charts/_rels/chart6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7.xml"/><Relationship Id="rId1" Type="http://schemas.microsoft.com/office/2011/relationships/chartStyle" Target="style67.xml"/></Relationships>
</file>

<file path=word/charts/_rels/chart6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8.xml"/><Relationship Id="rId1" Type="http://schemas.microsoft.com/office/2011/relationships/chartStyle" Target="style68.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7.xml"/><Relationship Id="rId1" Type="http://schemas.microsoft.com/office/2011/relationships/chartStyle" Target="style7.xml"/></Relationships>
</file>

<file path=word/charts/_rels/chart7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69.xml"/><Relationship Id="rId1" Type="http://schemas.microsoft.com/office/2011/relationships/chartStyle" Target="style69.xml"/></Relationships>
</file>

<file path=word/charts/_rels/chart7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0.xml"/><Relationship Id="rId1" Type="http://schemas.microsoft.com/office/2011/relationships/chartStyle" Target="style70.xml"/></Relationships>
</file>

<file path=word/charts/_rels/chart7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1.xml"/><Relationship Id="rId1" Type="http://schemas.microsoft.com/office/2011/relationships/chartStyle" Target="style71.xml"/></Relationships>
</file>

<file path=word/charts/_rels/chart7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2.xml"/><Relationship Id="rId1" Type="http://schemas.microsoft.com/office/2011/relationships/chartStyle" Target="style72.xml"/></Relationships>
</file>

<file path=word/charts/_rels/chart7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3.xml"/><Relationship Id="rId1" Type="http://schemas.microsoft.com/office/2011/relationships/chartStyle" Target="style73.xml"/></Relationships>
</file>

<file path=word/charts/_rels/chart7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4.xml"/><Relationship Id="rId1" Type="http://schemas.microsoft.com/office/2011/relationships/chartStyle" Target="style74.xml"/></Relationships>
</file>

<file path=word/charts/_rels/chart76.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5.xml"/><Relationship Id="rId1" Type="http://schemas.microsoft.com/office/2011/relationships/chartStyle" Target="style75.xml"/></Relationships>
</file>

<file path=word/charts/_rels/chart77.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6.xml"/><Relationship Id="rId1" Type="http://schemas.microsoft.com/office/2011/relationships/chartStyle" Target="style76.xml"/></Relationships>
</file>

<file path=word/charts/_rels/chart78.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7.xml"/><Relationship Id="rId1" Type="http://schemas.microsoft.com/office/2011/relationships/chartStyle" Target="style77.xml"/></Relationships>
</file>

<file path=word/charts/_rels/chart79.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8.xml"/><Relationship Id="rId1" Type="http://schemas.microsoft.com/office/2011/relationships/chartStyle" Target="style78.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8.xml"/><Relationship Id="rId1" Type="http://schemas.microsoft.com/office/2011/relationships/chartStyle" Target="style8.xml"/></Relationships>
</file>

<file path=word/charts/_rels/chart80.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79.xml"/><Relationship Id="rId1" Type="http://schemas.microsoft.com/office/2011/relationships/chartStyle" Target="style79.xml"/></Relationships>
</file>

<file path=word/charts/_rels/chart81.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80.xml"/><Relationship Id="rId1" Type="http://schemas.microsoft.com/office/2011/relationships/chartStyle" Target="style80.xml"/></Relationships>
</file>

<file path=word/charts/_rels/chart82.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81.xml"/><Relationship Id="rId1" Type="http://schemas.microsoft.com/office/2011/relationships/chartStyle" Target="style81.xml"/></Relationships>
</file>

<file path=word/charts/_rels/chart83.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82.xml"/><Relationship Id="rId1" Type="http://schemas.microsoft.com/office/2011/relationships/chartStyle" Target="style82.xml"/></Relationships>
</file>

<file path=word/charts/_rels/chart84.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83.xml"/><Relationship Id="rId1" Type="http://schemas.microsoft.com/office/2011/relationships/chartStyle" Target="style83.xml"/></Relationships>
</file>

<file path=word/charts/_rels/chart85.xml.rels><?xml version="1.0" encoding="UTF-8" standalone="yes"?>
<Relationships xmlns="http://schemas.openxmlformats.org/package/2006/relationships"><Relationship Id="rId3" Type="http://schemas.openxmlformats.org/officeDocument/2006/relationships/oleObject" Target="file:///C:\Users\lazar.mitic\Desktop\Statistika%20za%20Grant%202026%20srb.xlsx" TargetMode="External"/><Relationship Id="rId2" Type="http://schemas.microsoft.com/office/2011/relationships/chartColorStyle" Target="colors84.xml"/><Relationship Id="rId1" Type="http://schemas.microsoft.com/office/2011/relationships/chartStyle" Target="style84.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zar.mitic\AppData\Local\Microsoft\Windows\INetCache\Content.Outlook\LBT0XHC0\Grafet-performanca%20e%20pergjithshm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sr" sz="1000" b="1"/>
              <a:t>Ispunjenje minimalnih uslova</a:t>
            </a:r>
          </a:p>
        </c:rich>
      </c:tx>
      <c:layout>
        <c:manualLayout>
          <c:xMode val="edge"/>
          <c:yMode val="edge"/>
          <c:x val="0.21710974778459444"/>
          <c:y val="3.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9E9-4F47-BA65-354283BD19B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9E9-4F47-BA65-354283BD19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'Kushtet Minimale'!$B$2:$C$2</c:f>
              <c:strCache>
                <c:ptCount val="2"/>
                <c:pt idx="0">
                  <c:v>Broj opština koje su ispunile minimalne uslove </c:v>
                </c:pt>
                <c:pt idx="1">
                  <c:v>Broj opština koje nisu ispunile minimalne uslove </c:v>
                </c:pt>
              </c:strCache>
            </c:strRef>
          </c:cat>
          <c:val>
            <c:numRef>
              <c:f>'Kushtet Minimale'!$B$3:$C$3</c:f>
              <c:numCache>
                <c:formatCode>General</c:formatCode>
                <c:ptCount val="2"/>
                <c:pt idx="0">
                  <c:v>5</c:v>
                </c:pt>
                <c:pt idx="1">
                  <c:v>33</c:v>
                </c:pt>
              </c:numCache>
            </c:numRef>
          </c:val>
          <c:extLst xmlns:c16r2="http://schemas.microsoft.com/office/drawing/2015/06/chart">
            <c:ext xmlns:c16="http://schemas.microsoft.com/office/drawing/2014/chart" uri="{C3380CC4-5D6E-409C-BE32-E72D297353CC}">
              <c16:uniqueId val="{00000004-39E9-4F47-BA65-354283BD19B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sr-Latn-RS" sz="1200">
                <a:solidFill>
                  <a:sysClr val="windowText" lastClr="000000"/>
                </a:solidFill>
              </a:rPr>
              <a:t>GOU oblasti prema godinama</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Sheet2!$D$105</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Sheet2!$E$104:$G$104</c:f>
              <c:strCache>
                <c:ptCount val="3"/>
                <c:pt idx="0">
                  <c:v>Demokratsko upravljanje </c:v>
                </c:pt>
                <c:pt idx="1">
                  <c:v>Opštinsko upravljanje </c:v>
                </c:pt>
                <c:pt idx="2">
                  <c:v>Pružanje usluga </c:v>
                </c:pt>
              </c:strCache>
            </c:strRef>
          </c:cat>
          <c:val>
            <c:numRef>
              <c:f>Sheet2!$E$105:$G$105</c:f>
              <c:numCache>
                <c:formatCode>0.0%</c:formatCode>
                <c:ptCount val="3"/>
                <c:pt idx="0">
                  <c:v>0.51580000000000004</c:v>
                </c:pt>
                <c:pt idx="1">
                  <c:v>0.33550000000000002</c:v>
                </c:pt>
                <c:pt idx="2">
                  <c:v>0.36320000000000002</c:v>
                </c:pt>
              </c:numCache>
            </c:numRef>
          </c:val>
          <c:extLst xmlns:c16r2="http://schemas.microsoft.com/office/drawing/2015/06/chart">
            <c:ext xmlns:c16="http://schemas.microsoft.com/office/drawing/2014/chart" uri="{C3380CC4-5D6E-409C-BE32-E72D297353CC}">
              <c16:uniqueId val="{00000000-34E0-4534-820C-789A967E7445}"/>
            </c:ext>
          </c:extLst>
        </c:ser>
        <c:ser>
          <c:idx val="1"/>
          <c:order val="1"/>
          <c:tx>
            <c:strRef>
              <c:f>Sheet2!$D$106</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Sheet2!$E$104:$G$104</c:f>
              <c:strCache>
                <c:ptCount val="3"/>
                <c:pt idx="0">
                  <c:v>Demokratsko upravljanje </c:v>
                </c:pt>
                <c:pt idx="1">
                  <c:v>Opštinsko upravljanje </c:v>
                </c:pt>
                <c:pt idx="2">
                  <c:v>Pružanje usluga </c:v>
                </c:pt>
              </c:strCache>
            </c:strRef>
          </c:cat>
          <c:val>
            <c:numRef>
              <c:f>Sheet2!$E$106:$G$106</c:f>
              <c:numCache>
                <c:formatCode>0.0%</c:formatCode>
                <c:ptCount val="3"/>
                <c:pt idx="0">
                  <c:v>0.501</c:v>
                </c:pt>
                <c:pt idx="1">
                  <c:v>0.42199999999999999</c:v>
                </c:pt>
                <c:pt idx="2">
                  <c:v>0.496</c:v>
                </c:pt>
              </c:numCache>
            </c:numRef>
          </c:val>
          <c:extLst xmlns:c16r2="http://schemas.microsoft.com/office/drawing/2015/06/chart">
            <c:ext xmlns:c16="http://schemas.microsoft.com/office/drawing/2014/chart" uri="{C3380CC4-5D6E-409C-BE32-E72D297353CC}">
              <c16:uniqueId val="{00000001-34E0-4534-820C-789A967E7445}"/>
            </c:ext>
          </c:extLst>
        </c:ser>
        <c:ser>
          <c:idx val="2"/>
          <c:order val="2"/>
          <c:tx>
            <c:strRef>
              <c:f>Sheet2!$D$107</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Sheet2!$E$104:$G$104</c:f>
              <c:strCache>
                <c:ptCount val="3"/>
                <c:pt idx="0">
                  <c:v>Demokratsko upravljanje </c:v>
                </c:pt>
                <c:pt idx="1">
                  <c:v>Opštinsko upravljanje </c:v>
                </c:pt>
                <c:pt idx="2">
                  <c:v>Pružanje usluga </c:v>
                </c:pt>
              </c:strCache>
            </c:strRef>
          </c:cat>
          <c:val>
            <c:numRef>
              <c:f>Sheet2!$E$107:$G$107</c:f>
              <c:numCache>
                <c:formatCode>0.0%</c:formatCode>
                <c:ptCount val="3"/>
                <c:pt idx="0">
                  <c:v>0.45300000000000001</c:v>
                </c:pt>
                <c:pt idx="1">
                  <c:v>0.38400000000000001</c:v>
                </c:pt>
                <c:pt idx="2">
                  <c:v>0.41299999999999998</c:v>
                </c:pt>
              </c:numCache>
            </c:numRef>
          </c:val>
          <c:extLst xmlns:c16r2="http://schemas.microsoft.com/office/drawing/2015/06/chart">
            <c:ext xmlns:c16="http://schemas.microsoft.com/office/drawing/2014/chart" uri="{C3380CC4-5D6E-409C-BE32-E72D297353CC}">
              <c16:uniqueId val="{00000002-34E0-4534-820C-789A967E7445}"/>
            </c:ext>
          </c:extLst>
        </c:ser>
        <c:dLbls>
          <c:showLegendKey val="0"/>
          <c:showVal val="0"/>
          <c:showCatName val="0"/>
          <c:showSerName val="0"/>
          <c:showPercent val="0"/>
          <c:showBubbleSize val="0"/>
        </c:dLbls>
        <c:gapWidth val="150"/>
        <c:axId val="-516837280"/>
        <c:axId val="-516855232"/>
      </c:barChart>
      <c:catAx>
        <c:axId val="-51683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855232"/>
        <c:crosses val="autoZero"/>
        <c:auto val="1"/>
        <c:lblAlgn val="ctr"/>
        <c:lblOffset val="100"/>
        <c:noMultiLvlLbl val="0"/>
      </c:catAx>
      <c:valAx>
        <c:axId val="-516855232"/>
        <c:scaling>
          <c:orientation val="minMax"/>
        </c:scaling>
        <c:delete val="1"/>
        <c:axPos val="l"/>
        <c:numFmt formatCode="0.0%" sourceLinked="1"/>
        <c:majorTickMark val="none"/>
        <c:minorTickMark val="none"/>
        <c:tickLblPos val="nextTo"/>
        <c:crossAx val="-5168372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Demokratsko upravljanje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38100" cap="rnd">
              <a:solidFill>
                <a:schemeClr val="accent1"/>
              </a:solidFill>
              <a:round/>
            </a:ln>
            <a:effectLst/>
          </c:spPr>
          <c:marker>
            <c:symbol val="none"/>
          </c:marker>
          <c:dLbls>
            <c:dLbl>
              <c:idx val="0"/>
              <c:layout>
                <c:manualLayout>
                  <c:x val="1.5364354697102681E-2"/>
                  <c:y val="-5.44299969761112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426-4072-8188-75590B0EE8EB}"/>
                </c:ext>
                <c:ext xmlns:c15="http://schemas.microsoft.com/office/drawing/2012/chart" uri="{CE6537A1-D6FC-4f65-9D91-7224C49458BB}"/>
              </c:extLst>
            </c:dLbl>
            <c:dLbl>
              <c:idx val="1"/>
              <c:layout>
                <c:manualLayout>
                  <c:x val="6.5847234416153717E-3"/>
                  <c:y val="-5.44299969761112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426-4072-8188-75590B0EE8E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Sheet2!$D$125:$F$125</c:f>
              <c:strCache>
                <c:ptCount val="3"/>
                <c:pt idx="0">
                  <c:v>Najveći učinak</c:v>
                </c:pt>
                <c:pt idx="1">
                  <c:v>Prosečan učinak</c:v>
                </c:pt>
                <c:pt idx="2">
                  <c:v>Najniži učinak</c:v>
                </c:pt>
              </c:strCache>
            </c:strRef>
          </c:cat>
          <c:val>
            <c:numRef>
              <c:f>Sheet2!$D$126:$F$126</c:f>
              <c:numCache>
                <c:formatCode>0.00%</c:formatCode>
                <c:ptCount val="3"/>
                <c:pt idx="0">
                  <c:v>0.97499999999999998</c:v>
                </c:pt>
                <c:pt idx="1">
                  <c:v>0.51600000000000001</c:v>
                </c:pt>
                <c:pt idx="2" formatCode="0%">
                  <c:v>0.1</c:v>
                </c:pt>
              </c:numCache>
            </c:numRef>
          </c:val>
          <c:smooth val="0"/>
          <c:extLst xmlns:c16r2="http://schemas.microsoft.com/office/drawing/2015/06/chart">
            <c:ext xmlns:c16="http://schemas.microsoft.com/office/drawing/2014/chart" uri="{C3380CC4-5D6E-409C-BE32-E72D297353CC}">
              <c16:uniqueId val="{00000000-3426-4072-8188-75590B0EE8EB}"/>
            </c:ext>
          </c:extLst>
        </c:ser>
        <c:dLbls>
          <c:showLegendKey val="0"/>
          <c:showVal val="0"/>
          <c:showCatName val="0"/>
          <c:showSerName val="0"/>
          <c:showPercent val="0"/>
          <c:showBubbleSize val="0"/>
        </c:dLbls>
        <c:smooth val="0"/>
        <c:axId val="-516841632"/>
        <c:axId val="-516829664"/>
      </c:lineChart>
      <c:catAx>
        <c:axId val="-51684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29664"/>
        <c:crosses val="autoZero"/>
        <c:auto val="1"/>
        <c:lblAlgn val="ctr"/>
        <c:lblOffset val="100"/>
        <c:noMultiLvlLbl val="0"/>
      </c:catAx>
      <c:valAx>
        <c:axId val="-5168296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6841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sr-Latn-RS" sz="1200">
                <a:solidFill>
                  <a:sysClr val="windowText" lastClr="000000"/>
                </a:solidFill>
              </a:rPr>
              <a:t>Demokratsko vladanje</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a:scene3d>
              <a:camera prst="orthographicFront"/>
              <a:lightRig rig="threePt" dir="t">
                <a:rot lat="0" lon="0" rev="0"/>
              </a:lightRig>
            </a:scene3d>
          </c:spPr>
          <c:invertIfNegative val="0"/>
          <c:dPt>
            <c:idx val="1"/>
            <c:invertIfNegative val="0"/>
            <c:bubble3D val="0"/>
            <c:spPr>
              <a:solidFill>
                <a:schemeClr val="accent2"/>
              </a:solidFill>
              <a:ln>
                <a:noFill/>
              </a:ln>
              <a:effectLst/>
              <a:scene3d>
                <a:camera prst="orthographicFront"/>
                <a:lightRig rig="threePt" dir="t">
                  <a:rot lat="0" lon="0" rev="0"/>
                </a:lightRig>
              </a:scene3d>
            </c:spPr>
            <c:extLst xmlns:c16r2="http://schemas.microsoft.com/office/drawing/2015/06/chart">
              <c:ext xmlns:c16="http://schemas.microsoft.com/office/drawing/2014/chart" uri="{C3380CC4-5D6E-409C-BE32-E72D297353CC}">
                <c16:uniqueId val="{00000002-9988-419E-9276-7A3B9CF8D106}"/>
              </c:ext>
            </c:extLst>
          </c:dPt>
          <c:dPt>
            <c:idx val="2"/>
            <c:invertIfNegative val="0"/>
            <c:bubble3D val="0"/>
            <c:spPr>
              <a:solidFill>
                <a:schemeClr val="accent6">
                  <a:lumMod val="75000"/>
                </a:schemeClr>
              </a:solidFill>
              <a:ln>
                <a:noFill/>
              </a:ln>
              <a:effectLst/>
              <a:scene3d>
                <a:camera prst="orthographicFront"/>
                <a:lightRig rig="threePt" dir="t">
                  <a:rot lat="0" lon="0" rev="0"/>
                </a:lightRig>
              </a:scene3d>
            </c:spPr>
            <c:extLst xmlns:c16r2="http://schemas.microsoft.com/office/drawing/2015/06/chart">
              <c:ext xmlns:c16="http://schemas.microsoft.com/office/drawing/2014/chart" uri="{C3380CC4-5D6E-409C-BE32-E72D297353CC}">
                <c16:uniqueId val="{00000003-9988-419E-9276-7A3B9CF8D1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Sheet2!$C$129:$C$131</c:f>
              <c:strCache>
                <c:ptCount val="3"/>
                <c:pt idx="0">
                  <c:v>Uloga skupštine</c:v>
                </c:pt>
                <c:pt idx="1">
                  <c:v>Učešće, konsultacije i inkluzivnost građana</c:v>
                </c:pt>
                <c:pt idx="2">
                  <c:v>Transparentnost, pristup informacijama i integritet</c:v>
                </c:pt>
              </c:strCache>
            </c:strRef>
          </c:cat>
          <c:val>
            <c:numRef>
              <c:f>Sheet2!$D$129:$D$131</c:f>
              <c:numCache>
                <c:formatCode>0.0%</c:formatCode>
                <c:ptCount val="3"/>
                <c:pt idx="0">
                  <c:v>0.57199999999999995</c:v>
                </c:pt>
                <c:pt idx="1">
                  <c:v>0.40799999999999997</c:v>
                </c:pt>
                <c:pt idx="2">
                  <c:v>0.55400000000000005</c:v>
                </c:pt>
              </c:numCache>
            </c:numRef>
          </c:val>
          <c:extLst xmlns:c16r2="http://schemas.microsoft.com/office/drawing/2015/06/chart">
            <c:ext xmlns:c16="http://schemas.microsoft.com/office/drawing/2014/chart" uri="{C3380CC4-5D6E-409C-BE32-E72D297353CC}">
              <c16:uniqueId val="{00000000-9988-419E-9276-7A3B9CF8D106}"/>
            </c:ext>
          </c:extLst>
        </c:ser>
        <c:dLbls>
          <c:showLegendKey val="0"/>
          <c:showVal val="0"/>
          <c:showCatName val="0"/>
          <c:showSerName val="0"/>
          <c:showPercent val="0"/>
          <c:showBubbleSize val="0"/>
        </c:dLbls>
        <c:gapWidth val="150"/>
        <c:overlap val="100"/>
        <c:axId val="-516836192"/>
        <c:axId val="-516853056"/>
      </c:barChart>
      <c:catAx>
        <c:axId val="-5168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53056"/>
        <c:crosses val="autoZero"/>
        <c:auto val="1"/>
        <c:lblAlgn val="ctr"/>
        <c:lblOffset val="100"/>
        <c:noMultiLvlLbl val="0"/>
      </c:catAx>
      <c:valAx>
        <c:axId val="-51685305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16836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Opštinsko upravljanje</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2-A130-45BF-8502-B37ABB52F064}"/>
              </c:ext>
            </c:extLst>
          </c:dPt>
          <c:dPt>
            <c:idx val="2"/>
            <c:invertIfNegative val="0"/>
            <c:bubble3D val="0"/>
            <c:spPr>
              <a:solidFill>
                <a:schemeClr val="accent6">
                  <a:lumMod val="50000"/>
                </a:schemeClr>
              </a:solidFill>
              <a:ln>
                <a:noFill/>
              </a:ln>
              <a:effectLst/>
            </c:spPr>
            <c:extLst xmlns:c16r2="http://schemas.microsoft.com/office/drawing/2015/06/chart">
              <c:ext xmlns:c16="http://schemas.microsoft.com/office/drawing/2014/chart" uri="{C3380CC4-5D6E-409C-BE32-E72D297353CC}">
                <c16:uniqueId val="{00000003-A130-45BF-8502-B37ABB52F0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Sheet2!$C$152:$E$152</c:f>
              <c:strCache>
                <c:ptCount val="3"/>
                <c:pt idx="0">
                  <c:v>Finansijsko upravljanje</c:v>
                </c:pt>
                <c:pt idx="1">
                  <c:v>Upravljanje ugovorom</c:v>
                </c:pt>
                <c:pt idx="2">
                  <c:v>Upravljanje ljudskim resursima </c:v>
                </c:pt>
              </c:strCache>
            </c:strRef>
          </c:cat>
          <c:val>
            <c:numRef>
              <c:f>Sheet2!$C$153:$E$153</c:f>
              <c:numCache>
                <c:formatCode>0.0%</c:formatCode>
                <c:ptCount val="3"/>
                <c:pt idx="0">
                  <c:v>0.14599999999999999</c:v>
                </c:pt>
                <c:pt idx="1">
                  <c:v>0.59399999999999997</c:v>
                </c:pt>
                <c:pt idx="2">
                  <c:v>0.36299999999999999</c:v>
                </c:pt>
              </c:numCache>
            </c:numRef>
          </c:val>
          <c:extLst xmlns:c16r2="http://schemas.microsoft.com/office/drawing/2015/06/chart">
            <c:ext xmlns:c16="http://schemas.microsoft.com/office/drawing/2014/chart" uri="{C3380CC4-5D6E-409C-BE32-E72D297353CC}">
              <c16:uniqueId val="{00000000-A130-45BF-8502-B37ABB52F064}"/>
            </c:ext>
          </c:extLst>
        </c:ser>
        <c:dLbls>
          <c:showLegendKey val="0"/>
          <c:showVal val="0"/>
          <c:showCatName val="0"/>
          <c:showSerName val="0"/>
          <c:showPercent val="0"/>
          <c:showBubbleSize val="0"/>
        </c:dLbls>
        <c:gapWidth val="150"/>
        <c:overlap val="100"/>
        <c:axId val="-516835648"/>
        <c:axId val="-516835104"/>
      </c:barChart>
      <c:catAx>
        <c:axId val="-5168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35104"/>
        <c:crosses val="autoZero"/>
        <c:auto val="1"/>
        <c:lblAlgn val="ctr"/>
        <c:lblOffset val="100"/>
        <c:noMultiLvlLbl val="0"/>
      </c:catAx>
      <c:valAx>
        <c:axId val="-51683510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1683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Pružanje usluga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2-3343-4308-BF2A-8BB27435DBFA}"/>
              </c:ext>
            </c:extLst>
          </c:dPt>
          <c:dPt>
            <c:idx val="2"/>
            <c:invertIfNegative val="0"/>
            <c:bubble3D val="0"/>
            <c:spPr>
              <a:solidFill>
                <a:schemeClr val="accent6">
                  <a:lumMod val="50000"/>
                </a:schemeClr>
              </a:solidFill>
              <a:ln>
                <a:noFill/>
              </a:ln>
              <a:effectLst/>
            </c:spPr>
            <c:extLst xmlns:c16r2="http://schemas.microsoft.com/office/drawing/2015/06/chart">
              <c:ext xmlns:c16="http://schemas.microsoft.com/office/drawing/2014/chart" uri="{C3380CC4-5D6E-409C-BE32-E72D297353CC}">
                <c16:uniqueId val="{00000003-3343-4308-BF2A-8BB27435DBFA}"/>
              </c:ext>
            </c:extLst>
          </c:dPt>
          <c:dPt>
            <c:idx val="3"/>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4-3343-4308-BF2A-8BB27435DB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Sheet2!$C$157:$F$157</c:f>
              <c:strCache>
                <c:ptCount val="4"/>
                <c:pt idx="0">
                  <c:v>Administrativne usluge</c:v>
                </c:pt>
                <c:pt idx="1">
                  <c:v>Prostorno planiranje, javni prevoz i životna sredina</c:v>
                </c:pt>
                <c:pt idx="2">
                  <c:v>Preduniverzitetsko obrazovanje</c:v>
                </c:pt>
                <c:pt idx="3">
                  <c:v>Primarna zdravstvena zaštita</c:v>
                </c:pt>
              </c:strCache>
            </c:strRef>
          </c:cat>
          <c:val>
            <c:numRef>
              <c:f>Sheet2!$C$158:$F$158</c:f>
              <c:numCache>
                <c:formatCode>0.0%</c:formatCode>
                <c:ptCount val="4"/>
                <c:pt idx="0">
                  <c:v>0.68400000000000005</c:v>
                </c:pt>
                <c:pt idx="1">
                  <c:v>0.27600000000000002</c:v>
                </c:pt>
                <c:pt idx="2">
                  <c:v>0.16400000000000001</c:v>
                </c:pt>
                <c:pt idx="3">
                  <c:v>0.40799999999999997</c:v>
                </c:pt>
              </c:numCache>
            </c:numRef>
          </c:val>
          <c:extLst xmlns:c16r2="http://schemas.microsoft.com/office/drawing/2015/06/chart">
            <c:ext xmlns:c16="http://schemas.microsoft.com/office/drawing/2014/chart" uri="{C3380CC4-5D6E-409C-BE32-E72D297353CC}">
              <c16:uniqueId val="{00000000-3343-4308-BF2A-8BB27435DBFA}"/>
            </c:ext>
          </c:extLst>
        </c:ser>
        <c:dLbls>
          <c:showLegendKey val="0"/>
          <c:showVal val="0"/>
          <c:showCatName val="0"/>
          <c:showSerName val="0"/>
          <c:showPercent val="0"/>
          <c:showBubbleSize val="0"/>
        </c:dLbls>
        <c:gapWidth val="150"/>
        <c:overlap val="100"/>
        <c:axId val="-516831840"/>
        <c:axId val="-516851968"/>
      </c:barChart>
      <c:catAx>
        <c:axId val="-51683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51968"/>
        <c:crosses val="autoZero"/>
        <c:auto val="1"/>
        <c:lblAlgn val="ctr"/>
        <c:lblOffset val="100"/>
        <c:noMultiLvlLbl val="0"/>
      </c:catAx>
      <c:valAx>
        <c:axId val="-516851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1683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solidFill>
                  <a:sysClr val="windowText" lastClr="000000"/>
                </a:solidFill>
              </a:rPr>
              <a:t>Dečan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7F0E-41A1-B062-5DF4A73DC6E1}"/>
              </c:ext>
            </c:extLst>
          </c:dPt>
          <c:cat>
            <c:strRef>
              <c:f>Dečan!$B$2:$E$2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Dečan!$B$3:$E$3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7F0E-41A1-B062-5DF4A73DC6E1}"/>
            </c:ext>
          </c:extLst>
        </c:ser>
        <c:dLbls>
          <c:showLegendKey val="0"/>
          <c:showVal val="0"/>
          <c:showCatName val="0"/>
          <c:showSerName val="0"/>
          <c:showPercent val="0"/>
          <c:showBubbleSize val="0"/>
        </c:dLbls>
        <c:gapWidth val="182"/>
        <c:axId val="-516828576"/>
        <c:axId val="-516859040"/>
      </c:barChart>
      <c:catAx>
        <c:axId val="-516828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6859040"/>
        <c:crosses val="autoZero"/>
        <c:auto val="1"/>
        <c:lblAlgn val="ctr"/>
        <c:lblOffset val="100"/>
        <c:noMultiLvlLbl val="0"/>
      </c:catAx>
      <c:valAx>
        <c:axId val="-516859040"/>
        <c:scaling>
          <c:orientation val="minMax"/>
        </c:scaling>
        <c:delete val="1"/>
        <c:axPos val="b"/>
        <c:numFmt formatCode="General" sourceLinked="1"/>
        <c:majorTickMark val="none"/>
        <c:minorTickMark val="none"/>
        <c:tickLblPos val="nextTo"/>
        <c:crossAx val="-5168285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b="0"/>
              <a:t>Dečan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3C4F-4B38-A18E-06709B887629}"/>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Dečan!$B$20:$E$20</c:f>
              <c:strCache>
                <c:ptCount val="4"/>
                <c:pt idx="0">
                  <c:v>Demokratsko upravljanje</c:v>
                </c:pt>
                <c:pt idx="1">
                  <c:v>Opštinsko upravljanje </c:v>
                </c:pt>
                <c:pt idx="2">
                  <c:v>Pružanje usluga</c:v>
                </c:pt>
                <c:pt idx="3">
                  <c:v>Ukupno</c:v>
                </c:pt>
              </c:strCache>
            </c:strRef>
          </c:cat>
          <c:val>
            <c:numRef>
              <c:f>Dečan!$B$21:$E$21</c:f>
              <c:numCache>
                <c:formatCode>0.00</c:formatCode>
                <c:ptCount val="4"/>
                <c:pt idx="0">
                  <c:v>85</c:v>
                </c:pt>
                <c:pt idx="1">
                  <c:v>39.285714285714285</c:v>
                </c:pt>
                <c:pt idx="2">
                  <c:v>60</c:v>
                </c:pt>
                <c:pt idx="3">
                  <c:v>64.285714285714292</c:v>
                </c:pt>
              </c:numCache>
            </c:numRef>
          </c:val>
          <c:extLst xmlns:c16r2="http://schemas.microsoft.com/office/drawing/2015/06/chart">
            <c:ext xmlns:c16="http://schemas.microsoft.com/office/drawing/2014/chart" uri="{C3380CC4-5D6E-409C-BE32-E72D297353CC}">
              <c16:uniqueId val="{00000002-3C4F-4B38-A18E-06709B887629}"/>
            </c:ext>
          </c:extLst>
        </c:ser>
        <c:dLbls>
          <c:showLegendKey val="0"/>
          <c:showVal val="0"/>
          <c:showCatName val="0"/>
          <c:showSerName val="0"/>
          <c:showPercent val="0"/>
          <c:showBubbleSize val="0"/>
        </c:dLbls>
        <c:gapWidth val="150"/>
        <c:overlap val="100"/>
        <c:axId val="-575664288"/>
        <c:axId val="-575662656"/>
      </c:barChart>
      <c:catAx>
        <c:axId val="-57566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75662656"/>
        <c:crosses val="autoZero"/>
        <c:auto val="1"/>
        <c:lblAlgn val="ctr"/>
        <c:lblOffset val="100"/>
        <c:noMultiLvlLbl val="0"/>
      </c:catAx>
      <c:valAx>
        <c:axId val="-5756626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7566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Dragaš</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cat>
            <c:strRef>
              <c:f>Dragaš!$B$2:$E$2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Dragaš!$B$3:$E$3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69D7-4727-9C78-E5AACB79AE6B}"/>
            </c:ext>
          </c:extLst>
        </c:ser>
        <c:dLbls>
          <c:showLegendKey val="0"/>
          <c:showVal val="0"/>
          <c:showCatName val="0"/>
          <c:showSerName val="0"/>
          <c:showPercent val="0"/>
          <c:showBubbleSize val="0"/>
        </c:dLbls>
        <c:gapWidth val="182"/>
        <c:axId val="-575648512"/>
        <c:axId val="-515911968"/>
      </c:barChart>
      <c:catAx>
        <c:axId val="-575648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11968"/>
        <c:crosses val="autoZero"/>
        <c:auto val="1"/>
        <c:lblAlgn val="ctr"/>
        <c:lblOffset val="100"/>
        <c:noMultiLvlLbl val="0"/>
      </c:catAx>
      <c:valAx>
        <c:axId val="-515911968"/>
        <c:scaling>
          <c:orientation val="minMax"/>
        </c:scaling>
        <c:delete val="1"/>
        <c:axPos val="b"/>
        <c:numFmt formatCode="General" sourceLinked="1"/>
        <c:majorTickMark val="none"/>
        <c:minorTickMark val="none"/>
        <c:tickLblPos val="nextTo"/>
        <c:crossAx val="-5756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t>Dragaš</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1990-4DB2-927E-00F1C654E047}"/>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Dragaš!$B$19:$E$19</c:f>
              <c:strCache>
                <c:ptCount val="4"/>
                <c:pt idx="0">
                  <c:v>Demokratsko upravljanje</c:v>
                </c:pt>
                <c:pt idx="1">
                  <c:v>Opštinsko upravljanje </c:v>
                </c:pt>
                <c:pt idx="2">
                  <c:v>Pružanje usluga</c:v>
                </c:pt>
                <c:pt idx="3">
                  <c:v>Ukupno</c:v>
                </c:pt>
              </c:strCache>
            </c:strRef>
          </c:cat>
          <c:val>
            <c:numRef>
              <c:f>Dragaš!$B$20:$E$20</c:f>
              <c:numCache>
                <c:formatCode>0.00</c:formatCode>
                <c:ptCount val="4"/>
                <c:pt idx="0">
                  <c:v>92.5</c:v>
                </c:pt>
                <c:pt idx="1">
                  <c:v>32.142857142857146</c:v>
                </c:pt>
                <c:pt idx="2">
                  <c:v>46.666666666666664</c:v>
                </c:pt>
                <c:pt idx="3">
                  <c:v>61.224489795918366</c:v>
                </c:pt>
              </c:numCache>
            </c:numRef>
          </c:val>
          <c:extLst xmlns:c16r2="http://schemas.microsoft.com/office/drawing/2015/06/chart">
            <c:ext xmlns:c16="http://schemas.microsoft.com/office/drawing/2014/chart" uri="{C3380CC4-5D6E-409C-BE32-E72D297353CC}">
              <c16:uniqueId val="{00000002-1990-4DB2-927E-00F1C654E047}"/>
            </c:ext>
          </c:extLst>
        </c:ser>
        <c:dLbls>
          <c:showLegendKey val="0"/>
          <c:showVal val="0"/>
          <c:showCatName val="0"/>
          <c:showSerName val="0"/>
          <c:showPercent val="0"/>
          <c:showBubbleSize val="0"/>
        </c:dLbls>
        <c:gapWidth val="150"/>
        <c:overlap val="100"/>
        <c:axId val="-515925568"/>
        <c:axId val="-515924480"/>
      </c:barChart>
      <c:catAx>
        <c:axId val="-51592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5924480"/>
        <c:crosses val="autoZero"/>
        <c:auto val="1"/>
        <c:lblAlgn val="ctr"/>
        <c:lblOffset val="100"/>
        <c:noMultiLvlLbl val="0"/>
      </c:catAx>
      <c:valAx>
        <c:axId val="-51592448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2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Uroševac</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4292-4E88-BA43-995D1C4C0819}"/>
              </c:ext>
            </c:extLst>
          </c:dPt>
          <c:cat>
            <c:strRef>
              <c:f>Uroševac!$B$2:$E$2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Uroševac!$B$3:$E$3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4292-4E88-BA43-995D1C4C0819}"/>
            </c:ext>
          </c:extLst>
        </c:ser>
        <c:dLbls>
          <c:showLegendKey val="0"/>
          <c:showVal val="0"/>
          <c:showCatName val="0"/>
          <c:showSerName val="0"/>
          <c:showPercent val="0"/>
          <c:showBubbleSize val="0"/>
        </c:dLbls>
        <c:gapWidth val="182"/>
        <c:axId val="-515898912"/>
        <c:axId val="-515923392"/>
      </c:barChart>
      <c:catAx>
        <c:axId val="-51589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23392"/>
        <c:crosses val="autoZero"/>
        <c:auto val="1"/>
        <c:lblAlgn val="ctr"/>
        <c:lblOffset val="100"/>
        <c:noMultiLvlLbl val="0"/>
      </c:catAx>
      <c:valAx>
        <c:axId val="-515923392"/>
        <c:scaling>
          <c:orientation val="minMax"/>
        </c:scaling>
        <c:delete val="1"/>
        <c:axPos val="b"/>
        <c:numFmt formatCode="General" sourceLinked="1"/>
        <c:majorTickMark val="none"/>
        <c:minorTickMark val="none"/>
        <c:tickLblPos val="nextTo"/>
        <c:crossAx val="-515898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i="0" u="none" strike="noStrike" baseline="0">
                <a:solidFill>
                  <a:sysClr val="windowText" lastClr="000000"/>
                </a:solidFill>
              </a:rPr>
              <a:t>Broj opština koje su ispunile minimalne uslove 1, 2, 3 i 4</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
          <c:y val="0.3875294117647059"/>
          <c:w val="0.90789198241574209"/>
          <c:h val="0.46973907673305543"/>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Sheet2!$P$60:$S$60</c:f>
              <c:strCache>
                <c:ptCount val="4"/>
                <c:pt idx="0">
                  <c:v>MU 1</c:v>
                </c:pt>
                <c:pt idx="1">
                  <c:v>MU 2</c:v>
                </c:pt>
                <c:pt idx="2">
                  <c:v>MU 3</c:v>
                </c:pt>
                <c:pt idx="3">
                  <c:v>MU 4</c:v>
                </c:pt>
              </c:strCache>
            </c:strRef>
          </c:cat>
          <c:val>
            <c:numRef>
              <c:f>Sheet2!$P$61:$S$61</c:f>
              <c:numCache>
                <c:formatCode>General</c:formatCode>
                <c:ptCount val="4"/>
                <c:pt idx="0">
                  <c:v>33</c:v>
                </c:pt>
                <c:pt idx="1">
                  <c:v>33</c:v>
                </c:pt>
                <c:pt idx="2">
                  <c:v>7</c:v>
                </c:pt>
                <c:pt idx="3">
                  <c:v>28</c:v>
                </c:pt>
              </c:numCache>
            </c:numRef>
          </c:val>
          <c:extLst xmlns:c16r2="http://schemas.microsoft.com/office/drawing/2015/06/chart">
            <c:ext xmlns:c16="http://schemas.microsoft.com/office/drawing/2014/chart" uri="{C3380CC4-5D6E-409C-BE32-E72D297353CC}">
              <c16:uniqueId val="{00000000-4766-469B-97A1-3614DBD0B634}"/>
            </c:ext>
          </c:extLst>
        </c:ser>
        <c:dLbls>
          <c:showLegendKey val="0"/>
          <c:showVal val="0"/>
          <c:showCatName val="0"/>
          <c:showSerName val="0"/>
          <c:showPercent val="0"/>
          <c:showBubbleSize val="0"/>
        </c:dLbls>
        <c:gapWidth val="219"/>
        <c:overlap val="-27"/>
        <c:axId val="-516857952"/>
        <c:axId val="-516844352"/>
      </c:barChart>
      <c:catAx>
        <c:axId val="-51685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44352"/>
        <c:crosses val="autoZero"/>
        <c:auto val="1"/>
        <c:lblAlgn val="ctr"/>
        <c:lblOffset val="100"/>
        <c:noMultiLvlLbl val="0"/>
      </c:catAx>
      <c:valAx>
        <c:axId val="-516844352"/>
        <c:scaling>
          <c:orientation val="minMax"/>
        </c:scaling>
        <c:delete val="1"/>
        <c:axPos val="l"/>
        <c:numFmt formatCode="General" sourceLinked="1"/>
        <c:majorTickMark val="none"/>
        <c:minorTickMark val="none"/>
        <c:tickLblPos val="nextTo"/>
        <c:crossAx val="-51685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Uroševac</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5809-41A4-A104-1B103111F94A}"/>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Uroševac!$B$19:$E$19</c:f>
              <c:strCache>
                <c:ptCount val="4"/>
                <c:pt idx="0">
                  <c:v>Demokratsko upravljanje</c:v>
                </c:pt>
                <c:pt idx="1">
                  <c:v>Opštinsko upravljanje </c:v>
                </c:pt>
                <c:pt idx="2">
                  <c:v>Pružanje usluga</c:v>
                </c:pt>
                <c:pt idx="3">
                  <c:v>Ukupno</c:v>
                </c:pt>
              </c:strCache>
            </c:strRef>
          </c:cat>
          <c:val>
            <c:numRef>
              <c:f>Uroševac!$B$20:$E$20</c:f>
              <c:numCache>
                <c:formatCode>0.00</c:formatCode>
                <c:ptCount val="4"/>
                <c:pt idx="0">
                  <c:v>70</c:v>
                </c:pt>
                <c:pt idx="1">
                  <c:v>57.142857142857139</c:v>
                </c:pt>
                <c:pt idx="2">
                  <c:v>50</c:v>
                </c:pt>
                <c:pt idx="3">
                  <c:v>60.204081632653065</c:v>
                </c:pt>
              </c:numCache>
            </c:numRef>
          </c:val>
          <c:extLst xmlns:c16r2="http://schemas.microsoft.com/office/drawing/2015/06/chart">
            <c:ext xmlns:c16="http://schemas.microsoft.com/office/drawing/2014/chart" uri="{C3380CC4-5D6E-409C-BE32-E72D297353CC}">
              <c16:uniqueId val="{00000002-5809-41A4-A104-1B103111F94A}"/>
            </c:ext>
          </c:extLst>
        </c:ser>
        <c:dLbls>
          <c:showLegendKey val="0"/>
          <c:showVal val="0"/>
          <c:showCatName val="0"/>
          <c:showSerName val="0"/>
          <c:showPercent val="0"/>
          <c:showBubbleSize val="0"/>
        </c:dLbls>
        <c:gapWidth val="150"/>
        <c:overlap val="100"/>
        <c:axId val="-515907616"/>
        <c:axId val="-515900000"/>
      </c:barChart>
      <c:catAx>
        <c:axId val="-51590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00000"/>
        <c:crosses val="autoZero"/>
        <c:auto val="1"/>
        <c:lblAlgn val="ctr"/>
        <c:lblOffset val="100"/>
        <c:noMultiLvlLbl val="0"/>
      </c:catAx>
      <c:valAx>
        <c:axId val="-5159000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07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Kosovo Polje</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AB6-4326-9F96-41A2ED3288B4}"/>
              </c:ext>
            </c:extLst>
          </c:dPt>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3AB6-4326-9F96-41A2ED3288B4}"/>
              </c:ext>
            </c:extLst>
          </c:dPt>
          <c:cat>
            <c:strRef>
              <c:f>'Kosovo Polje'!$B$2:$E$2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'Kosovo Polje'!$B$3:$E$3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4-3AB6-4326-9F96-41A2ED3288B4}"/>
            </c:ext>
          </c:extLst>
        </c:ser>
        <c:dLbls>
          <c:showLegendKey val="0"/>
          <c:showVal val="0"/>
          <c:showCatName val="0"/>
          <c:showSerName val="0"/>
          <c:showPercent val="0"/>
          <c:showBubbleSize val="0"/>
        </c:dLbls>
        <c:gapWidth val="182"/>
        <c:axId val="-515898368"/>
        <c:axId val="-515917408"/>
      </c:barChart>
      <c:catAx>
        <c:axId val="-515898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5917408"/>
        <c:crosses val="autoZero"/>
        <c:auto val="1"/>
        <c:lblAlgn val="ctr"/>
        <c:lblOffset val="100"/>
        <c:noMultiLvlLbl val="0"/>
      </c:catAx>
      <c:valAx>
        <c:axId val="-515917408"/>
        <c:scaling>
          <c:orientation val="minMax"/>
        </c:scaling>
        <c:delete val="1"/>
        <c:axPos val="b"/>
        <c:numFmt formatCode="General" sourceLinked="1"/>
        <c:majorTickMark val="none"/>
        <c:minorTickMark val="none"/>
        <c:tickLblPos val="nextTo"/>
        <c:crossAx val="-51589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t>Kosovo Polje</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solidFill>
                  <a:srgbClr val="FFC000"/>
                </a:solidFill>
              </a:ln>
              <a:effectLst/>
            </c:spPr>
            <c:extLst xmlns:c16r2="http://schemas.microsoft.com/office/drawing/2015/06/chart">
              <c:ext xmlns:c16="http://schemas.microsoft.com/office/drawing/2014/chart" uri="{C3380CC4-5D6E-409C-BE32-E72D297353CC}">
                <c16:uniqueId val="{00000001-A6A4-441B-89F6-1A8F732A347C}"/>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'Kosovo Polje'!$B$19:$E$19</c:f>
              <c:strCache>
                <c:ptCount val="4"/>
                <c:pt idx="0">
                  <c:v>Demokratsko upravljanje</c:v>
                </c:pt>
                <c:pt idx="1">
                  <c:v>Opštinsko upravljanje </c:v>
                </c:pt>
                <c:pt idx="2">
                  <c:v>Pružanje usluga</c:v>
                </c:pt>
                <c:pt idx="3">
                  <c:v>Ukupno</c:v>
                </c:pt>
              </c:strCache>
            </c:strRef>
          </c:cat>
          <c:val>
            <c:numRef>
              <c:f>'Kosovo Polje'!$B$20:$E$20</c:f>
              <c:numCache>
                <c:formatCode>0.00</c:formatCode>
                <c:ptCount val="4"/>
                <c:pt idx="0">
                  <c:v>27.500000000000004</c:v>
                </c:pt>
                <c:pt idx="1">
                  <c:v>25</c:v>
                </c:pt>
                <c:pt idx="2">
                  <c:v>76.666666666666671</c:v>
                </c:pt>
                <c:pt idx="3">
                  <c:v>41.836734693877553</c:v>
                </c:pt>
              </c:numCache>
            </c:numRef>
          </c:val>
          <c:extLst xmlns:c16r2="http://schemas.microsoft.com/office/drawing/2015/06/chart">
            <c:ext xmlns:c16="http://schemas.microsoft.com/office/drawing/2014/chart" uri="{C3380CC4-5D6E-409C-BE32-E72D297353CC}">
              <c16:uniqueId val="{00000002-A6A4-441B-89F6-1A8F732A347C}"/>
            </c:ext>
          </c:extLst>
        </c:ser>
        <c:dLbls>
          <c:showLegendKey val="0"/>
          <c:showVal val="0"/>
          <c:showCatName val="0"/>
          <c:showSerName val="0"/>
          <c:showPercent val="0"/>
          <c:showBubbleSize val="0"/>
        </c:dLbls>
        <c:gapWidth val="150"/>
        <c:overlap val="100"/>
        <c:axId val="-515902720"/>
        <c:axId val="-515906528"/>
      </c:barChart>
      <c:catAx>
        <c:axId val="-51590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15906528"/>
        <c:crosses val="autoZero"/>
        <c:auto val="1"/>
        <c:lblAlgn val="ctr"/>
        <c:lblOffset val="100"/>
        <c:noMultiLvlLbl val="0"/>
      </c:catAx>
      <c:valAx>
        <c:axId val="-5159065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0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solidFill>
                  <a:sysClr val="windowText" lastClr="000000"/>
                </a:solidFill>
              </a:rPr>
              <a:t>Đakovica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569A-4310-8E16-A4A2DE98010B}"/>
              </c:ext>
            </c:extLst>
          </c:dPt>
          <c:cat>
            <c:strRef>
              <c:f>Đakovica!$B$2:$E$2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Đakovica!$B$3:$E$3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569A-4310-8E16-A4A2DE98010B}"/>
            </c:ext>
          </c:extLst>
        </c:ser>
        <c:dLbls>
          <c:showLegendKey val="0"/>
          <c:showVal val="0"/>
          <c:showCatName val="0"/>
          <c:showSerName val="0"/>
          <c:showPercent val="0"/>
          <c:showBubbleSize val="0"/>
        </c:dLbls>
        <c:gapWidth val="182"/>
        <c:axId val="-515926656"/>
        <c:axId val="-515920672"/>
      </c:barChart>
      <c:catAx>
        <c:axId val="-51592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5920672"/>
        <c:crosses val="autoZero"/>
        <c:auto val="1"/>
        <c:lblAlgn val="ctr"/>
        <c:lblOffset val="100"/>
        <c:noMultiLvlLbl val="0"/>
      </c:catAx>
      <c:valAx>
        <c:axId val="-515920672"/>
        <c:scaling>
          <c:orientation val="minMax"/>
        </c:scaling>
        <c:delete val="1"/>
        <c:axPos val="b"/>
        <c:numFmt formatCode="General" sourceLinked="1"/>
        <c:majorTickMark val="none"/>
        <c:minorTickMark val="none"/>
        <c:tickLblPos val="nextTo"/>
        <c:crossAx val="-515926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Đakovica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82DD-4107-BBE0-6C5F97945516}"/>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Đakovica!$B$19:$E$19</c:f>
              <c:strCache>
                <c:ptCount val="4"/>
                <c:pt idx="0">
                  <c:v>Demokratsko upravljanje</c:v>
                </c:pt>
                <c:pt idx="1">
                  <c:v>Opštinsko upravljanje </c:v>
                </c:pt>
                <c:pt idx="2">
                  <c:v>Pružanje usluga</c:v>
                </c:pt>
                <c:pt idx="3">
                  <c:v>Ukupno</c:v>
                </c:pt>
              </c:strCache>
            </c:strRef>
          </c:cat>
          <c:val>
            <c:numRef>
              <c:f>Đakovica!$B$20:$E$20</c:f>
              <c:numCache>
                <c:formatCode>0.00</c:formatCode>
                <c:ptCount val="4"/>
                <c:pt idx="0">
                  <c:v>50</c:v>
                </c:pt>
                <c:pt idx="1">
                  <c:v>50</c:v>
                </c:pt>
                <c:pt idx="2">
                  <c:v>60</c:v>
                </c:pt>
                <c:pt idx="3">
                  <c:v>53.061224489795919</c:v>
                </c:pt>
              </c:numCache>
            </c:numRef>
          </c:val>
          <c:extLst xmlns:c16r2="http://schemas.microsoft.com/office/drawing/2015/06/chart">
            <c:ext xmlns:c16="http://schemas.microsoft.com/office/drawing/2014/chart" uri="{C3380CC4-5D6E-409C-BE32-E72D297353CC}">
              <c16:uniqueId val="{00000002-82DD-4107-BBE0-6C5F97945516}"/>
            </c:ext>
          </c:extLst>
        </c:ser>
        <c:dLbls>
          <c:showLegendKey val="0"/>
          <c:showVal val="0"/>
          <c:showCatName val="0"/>
          <c:showSerName val="0"/>
          <c:showPercent val="0"/>
          <c:showBubbleSize val="0"/>
        </c:dLbls>
        <c:gapWidth val="150"/>
        <c:overlap val="100"/>
        <c:axId val="-515929920"/>
        <c:axId val="-515900544"/>
      </c:barChart>
      <c:catAx>
        <c:axId val="-51592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00544"/>
        <c:crosses val="autoZero"/>
        <c:auto val="1"/>
        <c:lblAlgn val="ctr"/>
        <c:lblOffset val="100"/>
        <c:noMultiLvlLbl val="0"/>
      </c:catAx>
      <c:valAx>
        <c:axId val="-51590054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2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r>
              <a:rPr lang="en-US" sz="1300"/>
              <a:t>Gnjilane</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E072-4672-9A5F-EFB392866804}"/>
              </c:ext>
            </c:extLst>
          </c:dPt>
          <c:cat>
            <c:strRef>
              <c:f>Gnjilane!$B$2:$E$2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Gnjilane!$B$3:$E$3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E072-4672-9A5F-EFB392866804}"/>
            </c:ext>
          </c:extLst>
        </c:ser>
        <c:dLbls>
          <c:showLegendKey val="0"/>
          <c:showVal val="0"/>
          <c:showCatName val="0"/>
          <c:showSerName val="0"/>
          <c:showPercent val="0"/>
          <c:showBubbleSize val="0"/>
        </c:dLbls>
        <c:gapWidth val="182"/>
        <c:axId val="-515916864"/>
        <c:axId val="-515923936"/>
      </c:barChart>
      <c:catAx>
        <c:axId val="-515916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5923936"/>
        <c:crosses val="autoZero"/>
        <c:auto val="1"/>
        <c:lblAlgn val="ctr"/>
        <c:lblOffset val="100"/>
        <c:noMultiLvlLbl val="0"/>
      </c:catAx>
      <c:valAx>
        <c:axId val="-515923936"/>
        <c:scaling>
          <c:orientation val="minMax"/>
        </c:scaling>
        <c:delete val="1"/>
        <c:axPos val="b"/>
        <c:numFmt formatCode="General" sourceLinked="1"/>
        <c:majorTickMark val="none"/>
        <c:minorTickMark val="none"/>
        <c:tickLblPos val="nextTo"/>
        <c:crossAx val="-51591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Gnjilane</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64C-4C93-BCE1-D83C98961688}"/>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Gnjilane!$B$19:$E$19</c:f>
              <c:strCache>
                <c:ptCount val="4"/>
                <c:pt idx="0">
                  <c:v>Demokratsko upravljanje</c:v>
                </c:pt>
                <c:pt idx="1">
                  <c:v>Opštinsko upravljanje </c:v>
                </c:pt>
                <c:pt idx="2">
                  <c:v>Pružanje usluga</c:v>
                </c:pt>
                <c:pt idx="3">
                  <c:v>Ukupno</c:v>
                </c:pt>
              </c:strCache>
            </c:strRef>
          </c:cat>
          <c:val>
            <c:numRef>
              <c:f>Gnjilane!$B$20:$E$20</c:f>
              <c:numCache>
                <c:formatCode>0.00</c:formatCode>
                <c:ptCount val="4"/>
                <c:pt idx="0">
                  <c:v>57.499999999999993</c:v>
                </c:pt>
                <c:pt idx="1">
                  <c:v>32.142857142857103</c:v>
                </c:pt>
                <c:pt idx="2">
                  <c:v>40</c:v>
                </c:pt>
                <c:pt idx="3">
                  <c:v>44.897959183673471</c:v>
                </c:pt>
              </c:numCache>
            </c:numRef>
          </c:val>
          <c:extLst xmlns:c16r2="http://schemas.microsoft.com/office/drawing/2015/06/chart">
            <c:ext xmlns:c16="http://schemas.microsoft.com/office/drawing/2014/chart" uri="{C3380CC4-5D6E-409C-BE32-E72D297353CC}">
              <c16:uniqueId val="{00000002-F64C-4C93-BCE1-D83C98961688}"/>
            </c:ext>
          </c:extLst>
        </c:ser>
        <c:dLbls>
          <c:showLegendKey val="0"/>
          <c:showVal val="0"/>
          <c:showCatName val="0"/>
          <c:showSerName val="0"/>
          <c:showPercent val="0"/>
          <c:showBubbleSize val="0"/>
        </c:dLbls>
        <c:gapWidth val="150"/>
        <c:overlap val="100"/>
        <c:axId val="-515905440"/>
        <c:axId val="-515903808"/>
      </c:barChart>
      <c:catAx>
        <c:axId val="-5159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03808"/>
        <c:crosses val="autoZero"/>
        <c:auto val="1"/>
        <c:lblAlgn val="ctr"/>
        <c:lblOffset val="100"/>
        <c:noMultiLvlLbl val="0"/>
      </c:catAx>
      <c:valAx>
        <c:axId val="-5159038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0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solidFill>
                  <a:sysClr val="windowText" lastClr="000000"/>
                </a:solidFill>
              </a:rPr>
              <a:t>Glogov</a:t>
            </a:r>
            <a:r>
              <a:rPr lang="sr-Latn-RS" sz="1300">
                <a:solidFill>
                  <a:sysClr val="windowText" lastClr="000000"/>
                </a:solidFill>
              </a:rPr>
              <a:t>a</a:t>
            </a:r>
            <a:r>
              <a:rPr lang="en-US" sz="1300">
                <a:solidFill>
                  <a:sysClr val="windowText" lastClr="000000"/>
                </a:solidFill>
              </a:rPr>
              <a:t>c</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419B-4A25-BCF0-9C794783471D}"/>
              </c:ext>
            </c:extLst>
          </c:dPt>
          <c:cat>
            <c:strRef>
              <c:f>Glogovac!$B$2:$E$2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Glogovac!$B$3:$E$3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419B-4A25-BCF0-9C794783471D}"/>
            </c:ext>
          </c:extLst>
        </c:ser>
        <c:dLbls>
          <c:showLegendKey val="0"/>
          <c:showVal val="0"/>
          <c:showCatName val="0"/>
          <c:showSerName val="0"/>
          <c:showPercent val="0"/>
          <c:showBubbleSize val="0"/>
        </c:dLbls>
        <c:gapWidth val="182"/>
        <c:axId val="-515921760"/>
        <c:axId val="-515921216"/>
      </c:barChart>
      <c:catAx>
        <c:axId val="-515921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5921216"/>
        <c:crosses val="autoZero"/>
        <c:auto val="1"/>
        <c:lblAlgn val="ctr"/>
        <c:lblOffset val="100"/>
        <c:noMultiLvlLbl val="0"/>
      </c:catAx>
      <c:valAx>
        <c:axId val="-515921216"/>
        <c:scaling>
          <c:orientation val="minMax"/>
        </c:scaling>
        <c:delete val="1"/>
        <c:axPos val="b"/>
        <c:numFmt formatCode="General" sourceLinked="1"/>
        <c:majorTickMark val="none"/>
        <c:minorTickMark val="none"/>
        <c:tickLblPos val="nextTo"/>
        <c:crossAx val="-515921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b="0" i="0" baseline="0">
                <a:effectLst/>
              </a:rPr>
              <a:t>Glogov</a:t>
            </a:r>
            <a:r>
              <a:rPr lang="sr-Latn-RS" sz="1300" b="0" i="0" baseline="0">
                <a:effectLst/>
              </a:rPr>
              <a:t>a</a:t>
            </a:r>
            <a:r>
              <a:rPr lang="en-US" sz="1300" b="0" i="0" baseline="0">
                <a:effectLst/>
              </a:rPr>
              <a:t>c</a:t>
            </a:r>
            <a:endParaRPr lang="en-US" sz="1300">
              <a:effectLst/>
            </a:endParaRPr>
          </a:p>
        </c:rich>
      </c:tx>
      <c:layout>
        <c:manualLayout>
          <c:xMode val="edge"/>
          <c:yMode val="edge"/>
          <c:x val="0.41557539682539685"/>
          <c:y val="3.7037037037037035E-2"/>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3CCE-4E48-8E35-F0D7C270C85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Glogovac!$B$19:$E$19</c:f>
              <c:strCache>
                <c:ptCount val="4"/>
                <c:pt idx="0">
                  <c:v>Demokratsko upravljanje</c:v>
                </c:pt>
                <c:pt idx="1">
                  <c:v>Opštinsko upravljanje </c:v>
                </c:pt>
                <c:pt idx="2">
                  <c:v>Pružanje usluga</c:v>
                </c:pt>
                <c:pt idx="3">
                  <c:v>Ukupno</c:v>
                </c:pt>
              </c:strCache>
            </c:strRef>
          </c:cat>
          <c:val>
            <c:numRef>
              <c:f>Glogovac!$B$20:$E$20</c:f>
              <c:numCache>
                <c:formatCode>0.00</c:formatCode>
                <c:ptCount val="4"/>
                <c:pt idx="0">
                  <c:v>92.5</c:v>
                </c:pt>
                <c:pt idx="1">
                  <c:v>71.428571428571431</c:v>
                </c:pt>
                <c:pt idx="2">
                  <c:v>60</c:v>
                </c:pt>
                <c:pt idx="3">
                  <c:v>76.530612244897952</c:v>
                </c:pt>
              </c:numCache>
            </c:numRef>
          </c:val>
          <c:extLst xmlns:c16r2="http://schemas.microsoft.com/office/drawing/2015/06/chart">
            <c:ext xmlns:c16="http://schemas.microsoft.com/office/drawing/2014/chart" uri="{C3380CC4-5D6E-409C-BE32-E72D297353CC}">
              <c16:uniqueId val="{00000002-3CCE-4E48-8E35-F0D7C270C852}"/>
            </c:ext>
          </c:extLst>
        </c:ser>
        <c:dLbls>
          <c:showLegendKey val="0"/>
          <c:showVal val="0"/>
          <c:showCatName val="0"/>
          <c:showSerName val="0"/>
          <c:showPercent val="0"/>
          <c:showBubbleSize val="0"/>
        </c:dLbls>
        <c:gapWidth val="150"/>
        <c:overlap val="100"/>
        <c:axId val="-515915776"/>
        <c:axId val="-515915232"/>
      </c:barChart>
      <c:catAx>
        <c:axId val="-51591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15232"/>
        <c:crosses val="autoZero"/>
        <c:auto val="1"/>
        <c:lblAlgn val="ctr"/>
        <c:lblOffset val="100"/>
        <c:noMultiLvlLbl val="0"/>
      </c:catAx>
      <c:valAx>
        <c:axId val="-51591523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1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Gračanica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5DC5-4D51-9CD0-23D6E5D05011}"/>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7-5DC5-4D51-9CD0-23D6E5D05011}"/>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6-5DC5-4D51-9CD0-23D6E5D05011}"/>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5DC5-4D51-9CD0-23D6E5D05011}"/>
              </c:ext>
            </c:extLst>
          </c:dPt>
          <c:cat>
            <c:strRef>
              <c:f>Gračanica!$B$2:$E$2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Gračanica!$B$3:$E$3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4-5DC5-4D51-9CD0-23D6E5D05011}"/>
            </c:ext>
          </c:extLst>
        </c:ser>
        <c:dLbls>
          <c:showLegendKey val="0"/>
          <c:showVal val="0"/>
          <c:showCatName val="0"/>
          <c:showSerName val="0"/>
          <c:showPercent val="0"/>
          <c:showBubbleSize val="0"/>
        </c:dLbls>
        <c:gapWidth val="182"/>
        <c:axId val="-515913056"/>
        <c:axId val="-515910336"/>
      </c:barChart>
      <c:catAx>
        <c:axId val="-51591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5910336"/>
        <c:crosses val="autoZero"/>
        <c:auto val="1"/>
        <c:lblAlgn val="ctr"/>
        <c:lblOffset val="100"/>
        <c:noMultiLvlLbl val="0"/>
      </c:catAx>
      <c:valAx>
        <c:axId val="-515910336"/>
        <c:scaling>
          <c:orientation val="minMax"/>
        </c:scaling>
        <c:delete val="1"/>
        <c:axPos val="b"/>
        <c:numFmt formatCode="General" sourceLinked="1"/>
        <c:majorTickMark val="none"/>
        <c:minorTickMark val="none"/>
        <c:tickLblPos val="nextTo"/>
        <c:crossAx val="-51591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sr-Latn-RS" sz="1050">
                <a:solidFill>
                  <a:sysClr val="windowText" lastClr="000000"/>
                </a:solidFill>
              </a:rPr>
              <a:t>Ispunjavanje</a:t>
            </a:r>
            <a:r>
              <a:rPr lang="sr-Latn-RS" sz="1050" baseline="0">
                <a:solidFill>
                  <a:sysClr val="windowText" lastClr="000000"/>
                </a:solidFill>
              </a:rPr>
              <a:t> minimalnih uslova u odnosu na opštine	</a:t>
            </a:r>
            <a:endParaRPr lang="en-US" sz="1050">
              <a:solidFill>
                <a:sysClr val="windowText" lastClr="000000"/>
              </a:solidFill>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678-49D5-9D9D-5CD5B03CC49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678-49D5-9D9D-5CD5B03CC49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678-49D5-9D9D-5CD5B03CC49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678-49D5-9D9D-5CD5B03CC49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678-49D5-9D9D-5CD5B03CC4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Sheet2!$P$67:$T$67</c:f>
              <c:strCache>
                <c:ptCount val="5"/>
                <c:pt idx="0">
                  <c:v>Ni jedan MU</c:v>
                </c:pt>
                <c:pt idx="1">
                  <c:v>Jedan MU</c:v>
                </c:pt>
                <c:pt idx="2">
                  <c:v>Dva MU</c:v>
                </c:pt>
                <c:pt idx="3">
                  <c:v>Tri MU</c:v>
                </c:pt>
                <c:pt idx="4">
                  <c:v>Cetiri MU</c:v>
                </c:pt>
              </c:strCache>
            </c:strRef>
          </c:cat>
          <c:val>
            <c:numRef>
              <c:f>Sheet2!$P$68:$T$68</c:f>
              <c:numCache>
                <c:formatCode>General</c:formatCode>
                <c:ptCount val="5"/>
                <c:pt idx="0">
                  <c:v>1</c:v>
                </c:pt>
                <c:pt idx="1">
                  <c:v>4</c:v>
                </c:pt>
                <c:pt idx="2">
                  <c:v>7</c:v>
                </c:pt>
                <c:pt idx="3">
                  <c:v>21</c:v>
                </c:pt>
                <c:pt idx="4">
                  <c:v>5</c:v>
                </c:pt>
              </c:numCache>
            </c:numRef>
          </c:val>
          <c:extLst xmlns:c16r2="http://schemas.microsoft.com/office/drawing/2015/06/chart">
            <c:ext xmlns:c16="http://schemas.microsoft.com/office/drawing/2014/chart" uri="{C3380CC4-5D6E-409C-BE32-E72D297353CC}">
              <c16:uniqueId val="{0000000A-5678-49D5-9D9D-5CD5B03CC49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Gračanica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1118-4B11-970F-86EF559AF552}"/>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Gračanica!$B$19:$E$19</c:f>
              <c:strCache>
                <c:ptCount val="4"/>
                <c:pt idx="0">
                  <c:v>Demokratsko upravljanje</c:v>
                </c:pt>
                <c:pt idx="1">
                  <c:v>Opštinsko upravljanje </c:v>
                </c:pt>
                <c:pt idx="2">
                  <c:v>Pružanje usluga</c:v>
                </c:pt>
                <c:pt idx="3">
                  <c:v>Ukupno</c:v>
                </c:pt>
              </c:strCache>
            </c:strRef>
          </c:cat>
          <c:val>
            <c:numRef>
              <c:f>Gračanica!$B$20:$E$20</c:f>
              <c:numCache>
                <c:formatCode>0.00</c:formatCode>
                <c:ptCount val="4"/>
                <c:pt idx="0">
                  <c:v>47.5</c:v>
                </c:pt>
                <c:pt idx="1">
                  <c:v>14.285714285714285</c:v>
                </c:pt>
                <c:pt idx="2">
                  <c:v>10</c:v>
                </c:pt>
                <c:pt idx="3">
                  <c:v>26.530612244897959</c:v>
                </c:pt>
              </c:numCache>
            </c:numRef>
          </c:val>
          <c:extLst xmlns:c16r2="http://schemas.microsoft.com/office/drawing/2015/06/chart">
            <c:ext xmlns:c16="http://schemas.microsoft.com/office/drawing/2014/chart" uri="{C3380CC4-5D6E-409C-BE32-E72D297353CC}">
              <c16:uniqueId val="{00000002-1118-4B11-970F-86EF559AF552}"/>
            </c:ext>
          </c:extLst>
        </c:ser>
        <c:dLbls>
          <c:showLegendKey val="0"/>
          <c:showVal val="0"/>
          <c:showCatName val="0"/>
          <c:showSerName val="0"/>
          <c:showPercent val="0"/>
          <c:showBubbleSize val="0"/>
        </c:dLbls>
        <c:gapWidth val="150"/>
        <c:overlap val="100"/>
        <c:axId val="-515909792"/>
        <c:axId val="-515899456"/>
      </c:barChart>
      <c:catAx>
        <c:axId val="-5159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899456"/>
        <c:crosses val="autoZero"/>
        <c:auto val="1"/>
        <c:lblAlgn val="ctr"/>
        <c:lblOffset val="100"/>
        <c:noMultiLvlLbl val="0"/>
      </c:catAx>
      <c:valAx>
        <c:axId val="-5158994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590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Đeneral Janković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417F-4318-AE52-24CB31E9EFBC}"/>
              </c:ext>
            </c:extLst>
          </c:dPt>
          <c:cat>
            <c:strRef>
              <c:f>'Elez Han'!$B$2:$E$2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'Elez Han'!$B$3:$E$3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417F-4318-AE52-24CB31E9EFBC}"/>
            </c:ext>
          </c:extLst>
        </c:ser>
        <c:dLbls>
          <c:showLegendKey val="0"/>
          <c:showVal val="0"/>
          <c:showCatName val="0"/>
          <c:showSerName val="0"/>
          <c:showPercent val="0"/>
          <c:showBubbleSize val="0"/>
        </c:dLbls>
        <c:gapWidth val="182"/>
        <c:axId val="-515904352"/>
        <c:axId val="-515907072"/>
      </c:barChart>
      <c:catAx>
        <c:axId val="-51590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5907072"/>
        <c:crosses val="autoZero"/>
        <c:auto val="1"/>
        <c:lblAlgn val="ctr"/>
        <c:lblOffset val="100"/>
        <c:noMultiLvlLbl val="0"/>
      </c:catAx>
      <c:valAx>
        <c:axId val="-515907072"/>
        <c:scaling>
          <c:orientation val="minMax"/>
        </c:scaling>
        <c:delete val="1"/>
        <c:axPos val="b"/>
        <c:numFmt formatCode="General" sourceLinked="1"/>
        <c:majorTickMark val="none"/>
        <c:minorTickMark val="none"/>
        <c:tickLblPos val="nextTo"/>
        <c:crossAx val="-51590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Đeneral Jankovć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03E-482E-A88C-EFFEACBC696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'Elez Han'!$B$19:$E$19</c:f>
              <c:strCache>
                <c:ptCount val="4"/>
                <c:pt idx="0">
                  <c:v>Demokratsko upravljanje</c:v>
                </c:pt>
                <c:pt idx="1">
                  <c:v>Opštinsko upravljanje </c:v>
                </c:pt>
                <c:pt idx="2">
                  <c:v>Pružanje usluga</c:v>
                </c:pt>
                <c:pt idx="3">
                  <c:v>Ukupno</c:v>
                </c:pt>
              </c:strCache>
            </c:strRef>
          </c:cat>
          <c:val>
            <c:numRef>
              <c:f>'Elez Han'!$B$20:$E$20</c:f>
              <c:numCache>
                <c:formatCode>0.00</c:formatCode>
                <c:ptCount val="4"/>
                <c:pt idx="0">
                  <c:v>82.5</c:v>
                </c:pt>
                <c:pt idx="1">
                  <c:v>46.428571428571431</c:v>
                </c:pt>
                <c:pt idx="2">
                  <c:v>50</c:v>
                </c:pt>
                <c:pt idx="3">
                  <c:v>62.244897959183675</c:v>
                </c:pt>
              </c:numCache>
            </c:numRef>
          </c:val>
          <c:extLst xmlns:c16r2="http://schemas.microsoft.com/office/drawing/2015/06/chart">
            <c:ext xmlns:c16="http://schemas.microsoft.com/office/drawing/2014/chart" uri="{C3380CC4-5D6E-409C-BE32-E72D297353CC}">
              <c16:uniqueId val="{00000002-003E-482E-A88C-EFFEACBC696E}"/>
            </c:ext>
          </c:extLst>
        </c:ser>
        <c:dLbls>
          <c:showLegendKey val="0"/>
          <c:showVal val="0"/>
          <c:showCatName val="0"/>
          <c:showSerName val="0"/>
          <c:showPercent val="0"/>
          <c:showBubbleSize val="0"/>
        </c:dLbls>
        <c:gapWidth val="219"/>
        <c:overlap val="-27"/>
        <c:axId val="-515926112"/>
        <c:axId val="-513028768"/>
      </c:barChart>
      <c:catAx>
        <c:axId val="-51592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28768"/>
        <c:crosses val="autoZero"/>
        <c:auto val="1"/>
        <c:lblAlgn val="ctr"/>
        <c:lblOffset val="100"/>
        <c:noMultiLvlLbl val="0"/>
      </c:catAx>
      <c:valAx>
        <c:axId val="-513028768"/>
        <c:scaling>
          <c:orientation val="minMax"/>
        </c:scaling>
        <c:delete val="1"/>
        <c:axPos val="l"/>
        <c:numFmt formatCode="0.00" sourceLinked="1"/>
        <c:majorTickMark val="none"/>
        <c:minorTickMark val="none"/>
        <c:tickLblPos val="nextTo"/>
        <c:crossAx val="-51592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Istok</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2592-4F36-B96C-5A7AF0419778}"/>
              </c:ext>
            </c:extLst>
          </c:dPt>
          <c:cat>
            <c:strRef>
              <c:f>Istok!$B$2:$E$2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Istok!$B$3:$E$3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2592-4F36-B96C-5A7AF0419778}"/>
            </c:ext>
          </c:extLst>
        </c:ser>
        <c:dLbls>
          <c:showLegendKey val="0"/>
          <c:showVal val="0"/>
          <c:showCatName val="0"/>
          <c:showSerName val="0"/>
          <c:showPercent val="0"/>
          <c:showBubbleSize val="0"/>
        </c:dLbls>
        <c:gapWidth val="182"/>
        <c:axId val="-513022240"/>
        <c:axId val="-513009728"/>
      </c:barChart>
      <c:catAx>
        <c:axId val="-51302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09728"/>
        <c:crosses val="autoZero"/>
        <c:auto val="1"/>
        <c:lblAlgn val="ctr"/>
        <c:lblOffset val="100"/>
        <c:noMultiLvlLbl val="0"/>
      </c:catAx>
      <c:valAx>
        <c:axId val="-513009728"/>
        <c:scaling>
          <c:orientation val="minMax"/>
        </c:scaling>
        <c:delete val="1"/>
        <c:axPos val="b"/>
        <c:numFmt formatCode="General" sourceLinked="1"/>
        <c:majorTickMark val="none"/>
        <c:minorTickMark val="none"/>
        <c:tickLblPos val="nextTo"/>
        <c:crossAx val="-51302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t>Istok</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7DB2-4DD7-9026-CBF39B026937}"/>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Istok!$B$19:$E$19</c:f>
              <c:strCache>
                <c:ptCount val="4"/>
                <c:pt idx="0">
                  <c:v>Demokratsko upravljanje</c:v>
                </c:pt>
                <c:pt idx="1">
                  <c:v>Opštinsko upravljanje </c:v>
                </c:pt>
                <c:pt idx="2">
                  <c:v>Pružanje usluga</c:v>
                </c:pt>
                <c:pt idx="3">
                  <c:v>Ukupno</c:v>
                </c:pt>
              </c:strCache>
            </c:strRef>
          </c:cat>
          <c:val>
            <c:numRef>
              <c:f>Istok!$B$20:$E$20</c:f>
              <c:numCache>
                <c:formatCode>0.00</c:formatCode>
                <c:ptCount val="4"/>
                <c:pt idx="0">
                  <c:v>87.5</c:v>
                </c:pt>
                <c:pt idx="1">
                  <c:v>53.571428571428569</c:v>
                </c:pt>
                <c:pt idx="2">
                  <c:v>60</c:v>
                </c:pt>
                <c:pt idx="3">
                  <c:v>69.387755102040813</c:v>
                </c:pt>
              </c:numCache>
            </c:numRef>
          </c:val>
          <c:extLst xmlns:c16r2="http://schemas.microsoft.com/office/drawing/2015/06/chart">
            <c:ext xmlns:c16="http://schemas.microsoft.com/office/drawing/2014/chart" uri="{C3380CC4-5D6E-409C-BE32-E72D297353CC}">
              <c16:uniqueId val="{00000002-7DB2-4DD7-9026-CBF39B026937}"/>
            </c:ext>
          </c:extLst>
        </c:ser>
        <c:dLbls>
          <c:showLegendKey val="0"/>
          <c:showVal val="0"/>
          <c:showCatName val="0"/>
          <c:showSerName val="0"/>
          <c:showPercent val="0"/>
          <c:showBubbleSize val="0"/>
        </c:dLbls>
        <c:gapWidth val="150"/>
        <c:overlap val="100"/>
        <c:axId val="-513018976"/>
        <c:axId val="-513020064"/>
      </c:barChart>
      <c:catAx>
        <c:axId val="-5130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13020064"/>
        <c:crosses val="autoZero"/>
        <c:auto val="1"/>
        <c:lblAlgn val="ctr"/>
        <c:lblOffset val="100"/>
        <c:noMultiLvlLbl val="0"/>
      </c:catAx>
      <c:valAx>
        <c:axId val="-5130200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1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Junik</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E2D4-4EE4-A22E-C4BAF81756E5}"/>
              </c:ext>
            </c:extLst>
          </c:dPt>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E2D4-4EE4-A22E-C4BAF81756E5}"/>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5-E2D4-4EE4-A22E-C4BAF81756E5}"/>
              </c:ext>
            </c:extLst>
          </c:dPt>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7-E2D4-4EE4-A22E-C4BAF81756E5}"/>
              </c:ext>
            </c:extLst>
          </c:dPt>
          <c:cat>
            <c:strRef>
              <c:f>Junik!$B$2:$E$2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Junik!$B$3:$E$3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8-E2D4-4EE4-A22E-C4BAF81756E5}"/>
            </c:ext>
          </c:extLst>
        </c:ser>
        <c:dLbls>
          <c:showLegendKey val="0"/>
          <c:showVal val="0"/>
          <c:showCatName val="0"/>
          <c:showSerName val="0"/>
          <c:showPercent val="0"/>
          <c:showBubbleSize val="0"/>
        </c:dLbls>
        <c:gapWidth val="182"/>
        <c:axId val="-513023328"/>
        <c:axId val="-513011904"/>
      </c:barChart>
      <c:catAx>
        <c:axId val="-51302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11904"/>
        <c:crosses val="autoZero"/>
        <c:auto val="1"/>
        <c:lblAlgn val="ctr"/>
        <c:lblOffset val="100"/>
        <c:noMultiLvlLbl val="0"/>
      </c:catAx>
      <c:valAx>
        <c:axId val="-513011904"/>
        <c:scaling>
          <c:orientation val="minMax"/>
        </c:scaling>
        <c:delete val="1"/>
        <c:axPos val="b"/>
        <c:numFmt formatCode="General" sourceLinked="1"/>
        <c:majorTickMark val="none"/>
        <c:minorTickMark val="none"/>
        <c:tickLblPos val="nextTo"/>
        <c:crossAx val="-51302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Junik</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F1A-4557-9DB1-CDDAD684025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Junik!$B$19:$E$19</c:f>
              <c:strCache>
                <c:ptCount val="4"/>
                <c:pt idx="0">
                  <c:v>Demokratsko upravljanje</c:v>
                </c:pt>
                <c:pt idx="1">
                  <c:v>Opštinsko upravljanje </c:v>
                </c:pt>
                <c:pt idx="2">
                  <c:v>Pružanje usluga</c:v>
                </c:pt>
                <c:pt idx="3">
                  <c:v>Ukupno</c:v>
                </c:pt>
              </c:strCache>
            </c:strRef>
          </c:cat>
          <c:val>
            <c:numRef>
              <c:f>Junik!$B$20:$E$20</c:f>
              <c:numCache>
                <c:formatCode>0.00</c:formatCode>
                <c:ptCount val="4"/>
                <c:pt idx="0">
                  <c:v>70</c:v>
                </c:pt>
                <c:pt idx="1">
                  <c:v>35.714285714285715</c:v>
                </c:pt>
                <c:pt idx="2">
                  <c:v>46.666666666666664</c:v>
                </c:pt>
                <c:pt idx="3">
                  <c:v>53.061224489795919</c:v>
                </c:pt>
              </c:numCache>
            </c:numRef>
          </c:val>
          <c:extLst xmlns:c16r2="http://schemas.microsoft.com/office/drawing/2015/06/chart">
            <c:ext xmlns:c16="http://schemas.microsoft.com/office/drawing/2014/chart" uri="{C3380CC4-5D6E-409C-BE32-E72D297353CC}">
              <c16:uniqueId val="{00000002-4F1A-4557-9DB1-CDDAD6840255}"/>
            </c:ext>
          </c:extLst>
        </c:ser>
        <c:dLbls>
          <c:showLegendKey val="0"/>
          <c:showVal val="0"/>
          <c:showCatName val="0"/>
          <c:showSerName val="0"/>
          <c:showPercent val="0"/>
          <c:showBubbleSize val="0"/>
        </c:dLbls>
        <c:gapWidth val="150"/>
        <c:overlap val="100"/>
        <c:axId val="-513005376"/>
        <c:axId val="-513034752"/>
      </c:barChart>
      <c:catAx>
        <c:axId val="-5130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34752"/>
        <c:crosses val="autoZero"/>
        <c:auto val="1"/>
        <c:lblAlgn val="ctr"/>
        <c:lblOffset val="100"/>
        <c:noMultiLvlLbl val="0"/>
      </c:catAx>
      <c:valAx>
        <c:axId val="-5130347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0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Kačanik</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6-176F-409C-8AC4-996011E2B91E}"/>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176F-409C-8AC4-996011E2B91E}"/>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176F-409C-8AC4-996011E2B91E}"/>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7-176F-409C-8AC4-996011E2B91E}"/>
              </c:ext>
            </c:extLst>
          </c:dPt>
          <c:cat>
            <c:strRef>
              <c:f>Kačanik!$B$2:$E$2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Kačanik!$B$3:$E$3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4-176F-409C-8AC4-996011E2B91E}"/>
            </c:ext>
          </c:extLst>
        </c:ser>
        <c:dLbls>
          <c:showLegendKey val="0"/>
          <c:showVal val="0"/>
          <c:showCatName val="0"/>
          <c:showSerName val="0"/>
          <c:showPercent val="0"/>
          <c:showBubbleSize val="0"/>
        </c:dLbls>
        <c:gapWidth val="182"/>
        <c:axId val="-513019520"/>
        <c:axId val="-513029856"/>
      </c:barChart>
      <c:catAx>
        <c:axId val="-513019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29856"/>
        <c:crosses val="autoZero"/>
        <c:auto val="1"/>
        <c:lblAlgn val="ctr"/>
        <c:lblOffset val="100"/>
        <c:noMultiLvlLbl val="0"/>
      </c:catAx>
      <c:valAx>
        <c:axId val="-513029856"/>
        <c:scaling>
          <c:orientation val="minMax"/>
        </c:scaling>
        <c:delete val="1"/>
        <c:axPos val="b"/>
        <c:numFmt formatCode="General" sourceLinked="1"/>
        <c:majorTickMark val="none"/>
        <c:minorTickMark val="none"/>
        <c:tickLblPos val="nextTo"/>
        <c:crossAx val="-51301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t>Kačanik</a:t>
            </a:r>
          </a:p>
        </c:rich>
      </c:tx>
      <c:layout>
        <c:manualLayout>
          <c:xMode val="edge"/>
          <c:yMode val="edge"/>
          <c:x val="0.39980158730158732"/>
          <c:y val="3.7037037037037035E-2"/>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D3E1-4A60-9611-3718FCCBA408}"/>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Kačanik!$B$19:$E$19</c:f>
              <c:strCache>
                <c:ptCount val="4"/>
                <c:pt idx="0">
                  <c:v>Demokratsko upravljanje</c:v>
                </c:pt>
                <c:pt idx="1">
                  <c:v>Opštinsko upravljanje </c:v>
                </c:pt>
                <c:pt idx="2">
                  <c:v>Pružanje usluga</c:v>
                </c:pt>
                <c:pt idx="3">
                  <c:v>Ukupno</c:v>
                </c:pt>
              </c:strCache>
            </c:strRef>
          </c:cat>
          <c:val>
            <c:numRef>
              <c:f>Kačanik!$B$20:$E$20</c:f>
              <c:numCache>
                <c:formatCode>0.00</c:formatCode>
                <c:ptCount val="4"/>
                <c:pt idx="0">
                  <c:v>60</c:v>
                </c:pt>
                <c:pt idx="1">
                  <c:v>28.571428571428569</c:v>
                </c:pt>
                <c:pt idx="2">
                  <c:v>23.333333333333332</c:v>
                </c:pt>
                <c:pt idx="3">
                  <c:v>39.795918367346935</c:v>
                </c:pt>
              </c:numCache>
            </c:numRef>
          </c:val>
          <c:extLst xmlns:c16r2="http://schemas.microsoft.com/office/drawing/2015/06/chart">
            <c:ext xmlns:c16="http://schemas.microsoft.com/office/drawing/2014/chart" uri="{C3380CC4-5D6E-409C-BE32-E72D297353CC}">
              <c16:uniqueId val="{00000002-D3E1-4A60-9611-3718FCCBA408}"/>
            </c:ext>
          </c:extLst>
        </c:ser>
        <c:dLbls>
          <c:showLegendKey val="0"/>
          <c:showVal val="0"/>
          <c:showCatName val="0"/>
          <c:showSerName val="0"/>
          <c:showPercent val="0"/>
          <c:showBubbleSize val="0"/>
        </c:dLbls>
        <c:gapWidth val="150"/>
        <c:overlap val="100"/>
        <c:axId val="-513009184"/>
        <c:axId val="-513017888"/>
      </c:barChart>
      <c:catAx>
        <c:axId val="-51300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13017888"/>
        <c:crosses val="autoZero"/>
        <c:auto val="1"/>
        <c:lblAlgn val="ctr"/>
        <c:lblOffset val="100"/>
        <c:noMultiLvlLbl val="0"/>
      </c:catAx>
      <c:valAx>
        <c:axId val="-51301788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0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Kamenica</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43EB-44B2-AD3B-0F88BFBA4DEA}"/>
              </c:ext>
            </c:extLst>
          </c:dPt>
          <c:cat>
            <c:strRef>
              <c:f>Kamenicë!$B$2:$E$2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Kamenicë!$B$3:$E$3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43EB-44B2-AD3B-0F88BFBA4DEA}"/>
            </c:ext>
          </c:extLst>
        </c:ser>
        <c:dLbls>
          <c:showLegendKey val="0"/>
          <c:showVal val="0"/>
          <c:showCatName val="0"/>
          <c:showSerName val="0"/>
          <c:showPercent val="0"/>
          <c:showBubbleSize val="0"/>
        </c:dLbls>
        <c:gapWidth val="182"/>
        <c:axId val="-513005920"/>
        <c:axId val="-513004832"/>
      </c:barChart>
      <c:catAx>
        <c:axId val="-51300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04832"/>
        <c:crosses val="autoZero"/>
        <c:auto val="1"/>
        <c:lblAlgn val="ctr"/>
        <c:lblOffset val="100"/>
        <c:noMultiLvlLbl val="0"/>
      </c:catAx>
      <c:valAx>
        <c:axId val="-513004832"/>
        <c:scaling>
          <c:orientation val="minMax"/>
        </c:scaling>
        <c:delete val="1"/>
        <c:axPos val="b"/>
        <c:numFmt formatCode="General" sourceLinked="1"/>
        <c:majorTickMark val="none"/>
        <c:minorTickMark val="none"/>
        <c:tickLblPos val="nextTo"/>
        <c:crossAx val="-51300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sq-AL" sz="1000">
                <a:solidFill>
                  <a:sysClr val="windowText" lastClr="000000"/>
                </a:solidFill>
                <a:effectLst/>
              </a:rPr>
              <a:t>Minimalne uslovi GOU-a 2024-2026 </a:t>
            </a:r>
            <a:endParaRPr lang="en-US" sz="10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Sheet2!$P$87:$R$87</c:f>
              <c:numCache>
                <c:formatCode>General</c:formatCode>
                <c:ptCount val="3"/>
                <c:pt idx="0">
                  <c:v>2024</c:v>
                </c:pt>
                <c:pt idx="1">
                  <c:v>2025</c:v>
                </c:pt>
                <c:pt idx="2">
                  <c:v>2026</c:v>
                </c:pt>
              </c:numCache>
            </c:numRef>
          </c:cat>
          <c:val>
            <c:numRef>
              <c:f>Sheet2!$P$88:$R$88</c:f>
              <c:numCache>
                <c:formatCode>General</c:formatCode>
                <c:ptCount val="3"/>
                <c:pt idx="0">
                  <c:v>11</c:v>
                </c:pt>
                <c:pt idx="1">
                  <c:v>12</c:v>
                </c:pt>
                <c:pt idx="2">
                  <c:v>5</c:v>
                </c:pt>
              </c:numCache>
            </c:numRef>
          </c:val>
          <c:extLst xmlns:c16r2="http://schemas.microsoft.com/office/drawing/2015/06/chart">
            <c:ext xmlns:c16="http://schemas.microsoft.com/office/drawing/2014/chart" uri="{C3380CC4-5D6E-409C-BE32-E72D297353CC}">
              <c16:uniqueId val="{00000000-EAB2-42AD-A259-915CE8051B05}"/>
            </c:ext>
          </c:extLst>
        </c:ser>
        <c:dLbls>
          <c:showLegendKey val="0"/>
          <c:showVal val="0"/>
          <c:showCatName val="0"/>
          <c:showSerName val="0"/>
          <c:showPercent val="0"/>
          <c:showBubbleSize val="0"/>
        </c:dLbls>
        <c:gapWidth val="219"/>
        <c:overlap val="-27"/>
        <c:axId val="-516845984"/>
        <c:axId val="-516856864"/>
      </c:barChart>
      <c:catAx>
        <c:axId val="-51684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856864"/>
        <c:crosses val="autoZero"/>
        <c:auto val="1"/>
        <c:lblAlgn val="ctr"/>
        <c:lblOffset val="100"/>
        <c:noMultiLvlLbl val="0"/>
      </c:catAx>
      <c:valAx>
        <c:axId val="-516856864"/>
        <c:scaling>
          <c:orientation val="minMax"/>
        </c:scaling>
        <c:delete val="1"/>
        <c:axPos val="l"/>
        <c:numFmt formatCode="General" sourceLinked="1"/>
        <c:majorTickMark val="none"/>
        <c:minorTickMark val="none"/>
        <c:tickLblPos val="nextTo"/>
        <c:crossAx val="-51684598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b="0" i="0" baseline="0">
                <a:effectLst/>
              </a:rPr>
              <a:t>Kamenica</a:t>
            </a:r>
            <a:endParaRPr lang="en-US" sz="1300">
              <a:effectLst/>
            </a:endParaRP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5FC5-4825-A195-ECB82F60C402}"/>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Kamenicë!$B$19:$E$19</c:f>
              <c:strCache>
                <c:ptCount val="4"/>
                <c:pt idx="0">
                  <c:v>Demokratsko upravljanje</c:v>
                </c:pt>
                <c:pt idx="1">
                  <c:v>Opštinsko upravljanje </c:v>
                </c:pt>
                <c:pt idx="2">
                  <c:v>Pružanje usluga</c:v>
                </c:pt>
                <c:pt idx="3">
                  <c:v>Ukupno</c:v>
                </c:pt>
              </c:strCache>
            </c:strRef>
          </c:cat>
          <c:val>
            <c:numRef>
              <c:f>Kamenicë!$B$20:$E$20</c:f>
              <c:numCache>
                <c:formatCode>0.00</c:formatCode>
                <c:ptCount val="4"/>
                <c:pt idx="0">
                  <c:v>35</c:v>
                </c:pt>
                <c:pt idx="1">
                  <c:v>32.142857142857146</c:v>
                </c:pt>
                <c:pt idx="2">
                  <c:v>30</c:v>
                </c:pt>
                <c:pt idx="3">
                  <c:v>32.653061224489797</c:v>
                </c:pt>
              </c:numCache>
            </c:numRef>
          </c:val>
          <c:extLst xmlns:c16r2="http://schemas.microsoft.com/office/drawing/2015/06/chart">
            <c:ext xmlns:c16="http://schemas.microsoft.com/office/drawing/2014/chart" uri="{C3380CC4-5D6E-409C-BE32-E72D297353CC}">
              <c16:uniqueId val="{00000002-5FC5-4825-A195-ECB82F60C402}"/>
            </c:ext>
          </c:extLst>
        </c:ser>
        <c:dLbls>
          <c:showLegendKey val="0"/>
          <c:showVal val="0"/>
          <c:showCatName val="0"/>
          <c:showSerName val="0"/>
          <c:showPercent val="0"/>
          <c:showBubbleSize val="0"/>
        </c:dLbls>
        <c:gapWidth val="150"/>
        <c:overlap val="100"/>
        <c:axId val="-513032576"/>
        <c:axId val="-513014080"/>
      </c:barChart>
      <c:catAx>
        <c:axId val="-51303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14080"/>
        <c:crosses val="autoZero"/>
        <c:auto val="1"/>
        <c:lblAlgn val="ctr"/>
        <c:lblOffset val="100"/>
        <c:noMultiLvlLbl val="0"/>
      </c:catAx>
      <c:valAx>
        <c:axId val="-51301408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3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Klina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cat>
            <c:strRef>
              <c:f>Klina!$B$2:$E$2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Klina!$B$3:$E$3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C41E-4D55-B949-4712E33C1A38}"/>
            </c:ext>
          </c:extLst>
        </c:ser>
        <c:dLbls>
          <c:showLegendKey val="0"/>
          <c:showVal val="0"/>
          <c:showCatName val="0"/>
          <c:showSerName val="0"/>
          <c:showPercent val="0"/>
          <c:showBubbleSize val="0"/>
        </c:dLbls>
        <c:gapWidth val="182"/>
        <c:axId val="-513028224"/>
        <c:axId val="-513010816"/>
      </c:barChart>
      <c:catAx>
        <c:axId val="-51302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n-US"/>
          </a:p>
        </c:txPr>
        <c:crossAx val="-513010816"/>
        <c:crosses val="autoZero"/>
        <c:auto val="1"/>
        <c:lblAlgn val="ctr"/>
        <c:lblOffset val="100"/>
        <c:noMultiLvlLbl val="0"/>
      </c:catAx>
      <c:valAx>
        <c:axId val="-513010816"/>
        <c:scaling>
          <c:orientation val="minMax"/>
        </c:scaling>
        <c:delete val="1"/>
        <c:axPos val="b"/>
        <c:numFmt formatCode="General" sourceLinked="1"/>
        <c:majorTickMark val="none"/>
        <c:minorTickMark val="none"/>
        <c:tickLblPos val="nextTo"/>
        <c:crossAx val="-51302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t>Klina</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2812-4429-AA34-A908CAA7BAE3}"/>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Klina!$B$19:$E$19</c:f>
              <c:strCache>
                <c:ptCount val="4"/>
                <c:pt idx="0">
                  <c:v>Demokratsko upravljanje</c:v>
                </c:pt>
                <c:pt idx="1">
                  <c:v>Opštinsko upravljanje </c:v>
                </c:pt>
                <c:pt idx="2">
                  <c:v>Pružanje usluga</c:v>
                </c:pt>
                <c:pt idx="3">
                  <c:v>Ukupno</c:v>
                </c:pt>
              </c:strCache>
            </c:strRef>
          </c:cat>
          <c:val>
            <c:numRef>
              <c:f>Klina!$B$20:$E$20</c:f>
              <c:numCache>
                <c:formatCode>0.00</c:formatCode>
                <c:ptCount val="4"/>
                <c:pt idx="0">
                  <c:v>85</c:v>
                </c:pt>
                <c:pt idx="1">
                  <c:v>39.285714285714285</c:v>
                </c:pt>
                <c:pt idx="2">
                  <c:v>43.333333333333336</c:v>
                </c:pt>
                <c:pt idx="3">
                  <c:v>59.183673469387756</c:v>
                </c:pt>
              </c:numCache>
            </c:numRef>
          </c:val>
          <c:extLst xmlns:c16r2="http://schemas.microsoft.com/office/drawing/2015/06/chart">
            <c:ext xmlns:c16="http://schemas.microsoft.com/office/drawing/2014/chart" uri="{C3380CC4-5D6E-409C-BE32-E72D297353CC}">
              <c16:uniqueId val="{00000002-2812-4429-AA34-A908CAA7BAE3}"/>
            </c:ext>
          </c:extLst>
        </c:ser>
        <c:dLbls>
          <c:showLegendKey val="0"/>
          <c:showVal val="0"/>
          <c:showCatName val="0"/>
          <c:showSerName val="0"/>
          <c:showPercent val="0"/>
          <c:showBubbleSize val="0"/>
        </c:dLbls>
        <c:gapWidth val="150"/>
        <c:overlap val="100"/>
        <c:axId val="-513016800"/>
        <c:axId val="-513016256"/>
      </c:barChart>
      <c:catAx>
        <c:axId val="-51301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13016256"/>
        <c:crosses val="autoZero"/>
        <c:auto val="1"/>
        <c:lblAlgn val="ctr"/>
        <c:lblOffset val="100"/>
        <c:noMultiLvlLbl val="0"/>
      </c:catAx>
      <c:valAx>
        <c:axId val="-5130162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1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Klokot</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5296-4921-8D8C-90F716BBCA65}"/>
              </c:ext>
            </c:extLst>
          </c:dPt>
          <c:cat>
            <c:strRef>
              <c:f>Klokot!$B$2:$E$2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Klokot!$B$3:$E$3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5296-4921-8D8C-90F716BBCA65}"/>
            </c:ext>
          </c:extLst>
        </c:ser>
        <c:dLbls>
          <c:showLegendKey val="0"/>
          <c:showVal val="0"/>
          <c:showCatName val="0"/>
          <c:showSerName val="0"/>
          <c:showPercent val="0"/>
          <c:showBubbleSize val="0"/>
        </c:dLbls>
        <c:gapWidth val="182"/>
        <c:axId val="-513024960"/>
        <c:axId val="-513008096"/>
      </c:barChart>
      <c:catAx>
        <c:axId val="-513024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08096"/>
        <c:crosses val="autoZero"/>
        <c:auto val="1"/>
        <c:lblAlgn val="ctr"/>
        <c:lblOffset val="100"/>
        <c:noMultiLvlLbl val="0"/>
      </c:catAx>
      <c:valAx>
        <c:axId val="-513008096"/>
        <c:scaling>
          <c:orientation val="minMax"/>
        </c:scaling>
        <c:delete val="1"/>
        <c:axPos val="b"/>
        <c:numFmt formatCode="General" sourceLinked="1"/>
        <c:majorTickMark val="none"/>
        <c:minorTickMark val="none"/>
        <c:tickLblPos val="nextTo"/>
        <c:crossAx val="-513024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CS" sz="1300" b="0" i="0" u="none" strike="noStrike" baseline="0">
                <a:effectLst/>
              </a:rPr>
              <a:t>Leposavić</a:t>
            </a:r>
            <a:endParaRPr lang="en-US" sz="1300" b="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F403-4F20-941D-8AA27787C19B}"/>
              </c:ext>
            </c:extLst>
          </c:dPt>
          <c:cat>
            <c:strRef>
              <c:f>Klokot!$B$2:$E$2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Klokot!$B$3:$E$3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F403-4F20-941D-8AA27787C19B}"/>
            </c:ext>
          </c:extLst>
        </c:ser>
        <c:dLbls>
          <c:showLegendKey val="0"/>
          <c:showVal val="0"/>
          <c:showCatName val="0"/>
          <c:showSerName val="0"/>
          <c:showPercent val="0"/>
          <c:showBubbleSize val="0"/>
        </c:dLbls>
        <c:gapWidth val="182"/>
        <c:axId val="-513014624"/>
        <c:axId val="-513027680"/>
      </c:barChart>
      <c:catAx>
        <c:axId val="-51301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27680"/>
        <c:crosses val="autoZero"/>
        <c:auto val="1"/>
        <c:lblAlgn val="ctr"/>
        <c:lblOffset val="100"/>
        <c:noMultiLvlLbl val="0"/>
      </c:catAx>
      <c:valAx>
        <c:axId val="-513027680"/>
        <c:scaling>
          <c:orientation val="minMax"/>
        </c:scaling>
        <c:delete val="1"/>
        <c:axPos val="b"/>
        <c:numFmt formatCode="General" sourceLinked="1"/>
        <c:majorTickMark val="none"/>
        <c:minorTickMark val="none"/>
        <c:tickLblPos val="nextTo"/>
        <c:crossAx val="-51301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Lipljan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DA3E-4DAE-8AA8-4965970EE65A}"/>
              </c:ext>
            </c:extLst>
          </c:dPt>
          <c:cat>
            <c:strRef>
              <c:f>Lipljan!$B$2:$E$2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Lipljan!$B$3:$E$3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DA3E-4DAE-8AA8-4965970EE65A}"/>
            </c:ext>
          </c:extLst>
        </c:ser>
        <c:dLbls>
          <c:showLegendKey val="0"/>
          <c:showVal val="0"/>
          <c:showCatName val="0"/>
          <c:showSerName val="0"/>
          <c:showPercent val="0"/>
          <c:showBubbleSize val="0"/>
        </c:dLbls>
        <c:gapWidth val="182"/>
        <c:axId val="-513007008"/>
        <c:axId val="-513026592"/>
      </c:barChart>
      <c:catAx>
        <c:axId val="-513007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26592"/>
        <c:crosses val="autoZero"/>
        <c:auto val="1"/>
        <c:lblAlgn val="ctr"/>
        <c:lblOffset val="100"/>
        <c:noMultiLvlLbl val="0"/>
      </c:catAx>
      <c:valAx>
        <c:axId val="-513026592"/>
        <c:scaling>
          <c:orientation val="minMax"/>
        </c:scaling>
        <c:delete val="1"/>
        <c:axPos val="b"/>
        <c:numFmt formatCode="General" sourceLinked="1"/>
        <c:majorTickMark val="none"/>
        <c:minorTickMark val="none"/>
        <c:tickLblPos val="nextTo"/>
        <c:crossAx val="-51300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Lipljan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370-46D9-8BC9-3F8D131B10ED}"/>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Lipljan!$B$19:$E$19</c:f>
              <c:strCache>
                <c:ptCount val="4"/>
                <c:pt idx="0">
                  <c:v>Demokratsko upravljanje</c:v>
                </c:pt>
                <c:pt idx="1">
                  <c:v>Opštinsko upravljanje </c:v>
                </c:pt>
                <c:pt idx="2">
                  <c:v>Pružanje usluga</c:v>
                </c:pt>
                <c:pt idx="3">
                  <c:v>Ukupno</c:v>
                </c:pt>
              </c:strCache>
            </c:strRef>
          </c:cat>
          <c:val>
            <c:numRef>
              <c:f>Lipljan!$B$20:$E$20</c:f>
              <c:numCache>
                <c:formatCode>0.00</c:formatCode>
                <c:ptCount val="4"/>
                <c:pt idx="0">
                  <c:v>85</c:v>
                </c:pt>
                <c:pt idx="1">
                  <c:v>50</c:v>
                </c:pt>
                <c:pt idx="2">
                  <c:v>80</c:v>
                </c:pt>
                <c:pt idx="3">
                  <c:v>73.469387755102048</c:v>
                </c:pt>
              </c:numCache>
            </c:numRef>
          </c:val>
          <c:extLst xmlns:c16r2="http://schemas.microsoft.com/office/drawing/2015/06/chart">
            <c:ext xmlns:c16="http://schemas.microsoft.com/office/drawing/2014/chart" uri="{C3380CC4-5D6E-409C-BE32-E72D297353CC}">
              <c16:uniqueId val="{00000002-F370-46D9-8BC9-3F8D131B10ED}"/>
            </c:ext>
          </c:extLst>
        </c:ser>
        <c:dLbls>
          <c:showLegendKey val="0"/>
          <c:showVal val="0"/>
          <c:showCatName val="0"/>
          <c:showSerName val="0"/>
          <c:showPercent val="0"/>
          <c:showBubbleSize val="0"/>
        </c:dLbls>
        <c:gapWidth val="150"/>
        <c:overlap val="100"/>
        <c:axId val="-513012992"/>
        <c:axId val="-513062496"/>
      </c:barChart>
      <c:catAx>
        <c:axId val="-51301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62496"/>
        <c:crosses val="autoZero"/>
        <c:auto val="1"/>
        <c:lblAlgn val="ctr"/>
        <c:lblOffset val="100"/>
        <c:noMultiLvlLbl val="0"/>
      </c:catAx>
      <c:valAx>
        <c:axId val="-5130624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1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Mališevo</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B050"/>
              </a:solidFill>
              <a:ln>
                <a:noFill/>
              </a:ln>
              <a:effectLst/>
            </c:spPr>
          </c:dPt>
          <c:dPt>
            <c:idx val="1"/>
            <c:invertIfNegative val="0"/>
            <c:bubble3D val="0"/>
            <c:spPr>
              <a:solidFill>
                <a:srgbClr val="00B050"/>
              </a:solidFill>
              <a:ln>
                <a:noFill/>
              </a:ln>
              <a:effectLst/>
            </c:spPr>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BF5-4F15-91AD-D7C96D922947}"/>
              </c:ext>
            </c:extLst>
          </c:dPt>
          <c:dPt>
            <c:idx val="3"/>
            <c:invertIfNegative val="0"/>
            <c:bubble3D val="0"/>
            <c:spPr>
              <a:solidFill>
                <a:srgbClr val="00B050"/>
              </a:solidFill>
              <a:ln>
                <a:noFill/>
              </a:ln>
              <a:effectLst/>
            </c:spPr>
          </c:dPt>
          <c:cat>
            <c:strRef>
              <c:f>Mališevo!$B$2:$E$2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Mališevo!$B$3:$E$3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3BF5-4F15-91AD-D7C96D922947}"/>
            </c:ext>
          </c:extLst>
        </c:ser>
        <c:dLbls>
          <c:showLegendKey val="0"/>
          <c:showVal val="0"/>
          <c:showCatName val="0"/>
          <c:showSerName val="0"/>
          <c:showPercent val="0"/>
          <c:showBubbleSize val="0"/>
        </c:dLbls>
        <c:gapWidth val="182"/>
        <c:axId val="-513040192"/>
        <c:axId val="-513048896"/>
      </c:barChart>
      <c:catAx>
        <c:axId val="-513040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48896"/>
        <c:crosses val="autoZero"/>
        <c:auto val="1"/>
        <c:lblAlgn val="ctr"/>
        <c:lblOffset val="100"/>
        <c:noMultiLvlLbl val="0"/>
      </c:catAx>
      <c:valAx>
        <c:axId val="-513048896"/>
        <c:scaling>
          <c:orientation val="minMax"/>
        </c:scaling>
        <c:delete val="1"/>
        <c:axPos val="b"/>
        <c:numFmt formatCode="General" sourceLinked="1"/>
        <c:majorTickMark val="none"/>
        <c:minorTickMark val="none"/>
        <c:tickLblPos val="nextTo"/>
        <c:crossAx val="-51304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Mališevo</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96AD-46B6-A17F-CD9852A73C40}"/>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Mališevo!$B$19:$E$19</c:f>
              <c:strCache>
                <c:ptCount val="4"/>
                <c:pt idx="0">
                  <c:v>Demokratsko upravljanje</c:v>
                </c:pt>
                <c:pt idx="1">
                  <c:v>Opštinsko upravljanje </c:v>
                </c:pt>
                <c:pt idx="2">
                  <c:v>Pružanje usluga</c:v>
                </c:pt>
                <c:pt idx="3">
                  <c:v>Ukupno</c:v>
                </c:pt>
              </c:strCache>
            </c:strRef>
          </c:cat>
          <c:val>
            <c:numRef>
              <c:f>Mališevo!$B$20:$E$20</c:f>
              <c:numCache>
                <c:formatCode>0.00</c:formatCode>
                <c:ptCount val="4"/>
                <c:pt idx="0">
                  <c:v>32.5</c:v>
                </c:pt>
                <c:pt idx="1">
                  <c:v>17.857142857142858</c:v>
                </c:pt>
                <c:pt idx="2">
                  <c:v>26.666666666666668</c:v>
                </c:pt>
                <c:pt idx="3">
                  <c:v>26.530612244897959</c:v>
                </c:pt>
              </c:numCache>
            </c:numRef>
          </c:val>
          <c:extLst xmlns:c16r2="http://schemas.microsoft.com/office/drawing/2015/06/chart">
            <c:ext xmlns:c16="http://schemas.microsoft.com/office/drawing/2014/chart" uri="{C3380CC4-5D6E-409C-BE32-E72D297353CC}">
              <c16:uniqueId val="{00000002-96AD-46B6-A17F-CD9852A73C40}"/>
            </c:ext>
          </c:extLst>
        </c:ser>
        <c:dLbls>
          <c:showLegendKey val="0"/>
          <c:showVal val="0"/>
          <c:showCatName val="0"/>
          <c:showSerName val="0"/>
          <c:showPercent val="0"/>
          <c:showBubbleSize val="0"/>
        </c:dLbls>
        <c:gapWidth val="150"/>
        <c:overlap val="100"/>
        <c:axId val="-513047264"/>
        <c:axId val="-513057600"/>
      </c:barChart>
      <c:catAx>
        <c:axId val="-51304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57600"/>
        <c:crosses val="autoZero"/>
        <c:auto val="1"/>
        <c:lblAlgn val="ctr"/>
        <c:lblOffset val="100"/>
        <c:noMultiLvlLbl val="0"/>
      </c:catAx>
      <c:valAx>
        <c:axId val="-5130576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4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lumMod val="65000"/>
                    <a:lumOff val="35000"/>
                  </a:sysClr>
                </a:solidFill>
              </a:rPr>
              <a:t>Mamuša</a:t>
            </a:r>
          </a:p>
        </c:rich>
      </c:tx>
      <c:layout>
        <c:manualLayout>
          <c:xMode val="edge"/>
          <c:yMode val="edge"/>
          <c:x val="0.4828100862079166"/>
          <c:y val="3.0257186081694403E-2"/>
        </c:manualLayout>
      </c:layout>
      <c:overlay val="0"/>
    </c:title>
    <c:autoTitleDeleted val="0"/>
    <c:plotArea>
      <c:layout/>
      <c:barChart>
        <c:barDir val="bar"/>
        <c:grouping val="clustered"/>
        <c:varyColors val="0"/>
        <c:ser>
          <c:idx val="0"/>
          <c:order val="0"/>
          <c:tx>
            <c:strRef>
              <c:f>Sheet1!$C$254</c:f>
              <c:strCache>
                <c:ptCount val="1"/>
                <c:pt idx="0">
                  <c:v>Zubin Potok</c:v>
                </c:pt>
              </c:strCache>
            </c:strRef>
          </c:tx>
          <c:spPr>
            <a:solidFill>
              <a:srgbClr val="00B050"/>
            </a:solidFill>
          </c:spPr>
          <c:invertIfNegative val="0"/>
          <c:dPt>
            <c:idx val="0"/>
            <c:invertIfNegative val="0"/>
            <c:bubble3D val="0"/>
            <c:extLst xmlns:c16r2="http://schemas.microsoft.com/office/drawing/2015/06/chart">
              <c:ext xmlns:c16="http://schemas.microsoft.com/office/drawing/2014/chart" uri="{C3380CC4-5D6E-409C-BE32-E72D297353CC}">
                <c16:uniqueId val="{00000000-5C1A-42A0-8FEA-55ABEE4BA735}"/>
              </c:ext>
            </c:extLst>
          </c:dPt>
          <c:dPt>
            <c:idx val="1"/>
            <c:invertIfNegative val="0"/>
            <c:bubble3D val="0"/>
            <c:extLst xmlns:c16r2="http://schemas.microsoft.com/office/drawing/2015/06/chart">
              <c:ext xmlns:c16="http://schemas.microsoft.com/office/drawing/2014/chart" uri="{C3380CC4-5D6E-409C-BE32-E72D297353CC}">
                <c16:uniqueId val="{00000001-5C1A-42A0-8FEA-55ABEE4BA735}"/>
              </c:ext>
            </c:extLst>
          </c:dPt>
          <c:dPt>
            <c:idx val="2"/>
            <c:invertIfNegative val="0"/>
            <c:bubble3D val="0"/>
            <c:extLst xmlns:c16r2="http://schemas.microsoft.com/office/drawing/2015/06/chart">
              <c:ext xmlns:c16="http://schemas.microsoft.com/office/drawing/2014/chart" uri="{C3380CC4-5D6E-409C-BE32-E72D297353CC}">
                <c16:uniqueId val="{00000002-5C1A-42A0-8FEA-55ABEE4BA735}"/>
              </c:ext>
            </c:extLst>
          </c:dPt>
          <c:dPt>
            <c:idx val="3"/>
            <c:invertIfNegative val="0"/>
            <c:bubble3D val="0"/>
            <c:extLst xmlns:c16r2="http://schemas.microsoft.com/office/drawing/2015/06/chart">
              <c:ext xmlns:c16="http://schemas.microsoft.com/office/drawing/2014/chart" uri="{C3380CC4-5D6E-409C-BE32-E72D297353CC}">
                <c16:uniqueId val="{00000003-5C1A-42A0-8FEA-55ABEE4BA735}"/>
              </c:ext>
            </c:extLst>
          </c:dPt>
          <c:cat>
            <c:strRef>
              <c:f>Sheet1!$B$255:$B$258</c:f>
              <c:strCache>
                <c:ptCount val="4"/>
                <c:pt idx="0">
                  <c:v>Komunat duhet të kenë raportuar të dhënat në SMPK sipas afatit të përcaktuar </c:v>
                </c:pt>
                <c:pt idx="1">
                  <c:v>Komunat duhet të kenë respektuar obligimin ligjor për të rishqyrtuar aktet komunale të vlerësuara si të kundërligjshme nga autoriteti mbikëqyrës</c:v>
                </c:pt>
                <c:pt idx="2">
                  <c:v>Opinioni i auditimit duhet të jetë të paktën i pamodifikuar me theksim të çështjes</c:v>
                </c:pt>
                <c:pt idx="3">
                  <c:v>Komunat duhet të kenë shpenzuar 75% ose më tepër të buxhetit final për investime kapitale</c:v>
                </c:pt>
              </c:strCache>
            </c:strRef>
          </c:cat>
          <c:val>
            <c:numRef>
              <c:f>Sheet1!$C$255:$C$258</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4-5C1A-42A0-8FEA-55ABEE4BA735}"/>
            </c:ext>
          </c:extLst>
        </c:ser>
        <c:dLbls>
          <c:showLegendKey val="0"/>
          <c:showVal val="0"/>
          <c:showCatName val="0"/>
          <c:showSerName val="0"/>
          <c:showPercent val="0"/>
          <c:showBubbleSize val="0"/>
        </c:dLbls>
        <c:gapWidth val="150"/>
        <c:axId val="-513048352"/>
        <c:axId val="-513038016"/>
      </c:barChart>
      <c:catAx>
        <c:axId val="-513048352"/>
        <c:scaling>
          <c:orientation val="minMax"/>
        </c:scaling>
        <c:delete val="0"/>
        <c:axPos val="l"/>
        <c:numFmt formatCode="General" sourceLinked="0"/>
        <c:majorTickMark val="out"/>
        <c:minorTickMark val="none"/>
        <c:tickLblPos val="nextTo"/>
        <c:txPr>
          <a:bodyPr/>
          <a:lstStyle/>
          <a:p>
            <a:pPr>
              <a:defRPr sz="800"/>
            </a:pPr>
            <a:endParaRPr lang="en-US"/>
          </a:p>
        </c:txPr>
        <c:crossAx val="-513038016"/>
        <c:crosses val="autoZero"/>
        <c:auto val="1"/>
        <c:lblAlgn val="ctr"/>
        <c:lblOffset val="100"/>
        <c:noMultiLvlLbl val="0"/>
      </c:catAx>
      <c:valAx>
        <c:axId val="-513038016"/>
        <c:scaling>
          <c:orientation val="minMax"/>
        </c:scaling>
        <c:delete val="1"/>
        <c:axPos val="b"/>
        <c:numFmt formatCode="General" sourceLinked="1"/>
        <c:majorTickMark val="out"/>
        <c:minorTickMark val="none"/>
        <c:tickLblPos val="nextTo"/>
        <c:crossAx val="-513048352"/>
        <c:crosses val="autoZero"/>
        <c:crossBetween val="between"/>
      </c:valAx>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0.10484927916120576"/>
          <c:w val="0.96666666666666667"/>
          <c:h val="0.81377316367564168"/>
        </c:manualLayout>
      </c:layout>
      <c:lineChart>
        <c:grouping val="standard"/>
        <c:varyColors val="0"/>
        <c:ser>
          <c:idx val="0"/>
          <c:order val="0"/>
          <c:spPr>
            <a:ln w="34925" cap="rnd">
              <a:solidFill>
                <a:schemeClr val="lt1"/>
              </a:solidFill>
              <a:round/>
            </a:ln>
            <a:effectLst>
              <a:outerShdw dist="25400" dir="2700000" algn="tl" rotWithShape="0">
                <a:schemeClr val="accent1"/>
              </a:outerShdw>
            </a:effectLst>
          </c:spPr>
          <c:marker>
            <c:symbol val="none"/>
          </c:marker>
          <c:dLbls>
            <c:dLbl>
              <c:idx val="0"/>
              <c:layout>
                <c:manualLayout>
                  <c:x val="-7.0013998250218742E-2"/>
                  <c:y val="-5.092592592592592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C69-4BD0-8545-F80DD194DB27}"/>
                </c:ext>
                <c:ext xmlns:c15="http://schemas.microsoft.com/office/drawing/2012/chart" uri="{CE6537A1-D6FC-4f65-9D91-7224C49458BB}"/>
              </c:extLst>
            </c:dLbl>
            <c:dLbl>
              <c:idx val="1"/>
              <c:layout>
                <c:manualLayout>
                  <c:x val="-6.4458442694663221E-2"/>
                  <c:y val="-5.55555555555555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C69-4BD0-8545-F80DD194DB27}"/>
                </c:ext>
                <c:ext xmlns:c15="http://schemas.microsoft.com/office/drawing/2012/chart" uri="{CE6537A1-D6FC-4f65-9D91-7224C49458BB}"/>
              </c:extLst>
            </c:dLbl>
            <c:dLbl>
              <c:idx val="2"/>
              <c:layout>
                <c:manualLayout>
                  <c:x val="-2.0013998250218726E-2"/>
                  <c:y val="-4.16666666666666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C69-4BD0-8545-F80DD194DB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'Grafiku 5&amp;6,11'!$B$3:$D$3</c:f>
              <c:strCache>
                <c:ptCount val="3"/>
                <c:pt idx="0">
                  <c:v>GOU 2024</c:v>
                </c:pt>
                <c:pt idx="1">
                  <c:v>GOU 2025</c:v>
                </c:pt>
                <c:pt idx="2">
                  <c:v>GOU 2026</c:v>
                </c:pt>
              </c:strCache>
            </c:strRef>
          </c:cat>
          <c:val>
            <c:numRef>
              <c:f>'Grafiku 5&amp;6,11'!$B$4:$D$4</c:f>
              <c:numCache>
                <c:formatCode>0.00%</c:formatCode>
                <c:ptCount val="3"/>
                <c:pt idx="0">
                  <c:v>0.42159999999999997</c:v>
                </c:pt>
                <c:pt idx="1">
                  <c:v>0.47689999999999999</c:v>
                </c:pt>
                <c:pt idx="2">
                  <c:v>0.41760000000000003</c:v>
                </c:pt>
              </c:numCache>
            </c:numRef>
          </c:val>
          <c:smooth val="0"/>
          <c:extLst xmlns:c16r2="http://schemas.microsoft.com/office/drawing/2015/06/chart">
            <c:ext xmlns:c16="http://schemas.microsoft.com/office/drawing/2014/chart" uri="{C3380CC4-5D6E-409C-BE32-E72D297353CC}">
              <c16:uniqueId val="{00000003-CC69-4BD0-8545-F80DD194DB27}"/>
            </c:ext>
          </c:extLst>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516834016"/>
        <c:axId val="-516860672"/>
      </c:lineChart>
      <c:catAx>
        <c:axId val="-5168340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US"/>
                  <a:t>Prosečan učinak opština u MPG u poslednje tri godine</a:t>
                </a:r>
                <a:endParaRPr lang="en-US" sz="1000"/>
              </a:p>
            </c:rich>
          </c:tx>
          <c:layout>
            <c:manualLayout>
              <c:xMode val="edge"/>
              <c:yMode val="edge"/>
              <c:x val="0.19038096916989855"/>
              <c:y val="4.636544739386801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en-US"/>
          </a:p>
        </c:txPr>
        <c:crossAx val="-516860672"/>
        <c:crosses val="autoZero"/>
        <c:auto val="1"/>
        <c:lblAlgn val="ctr"/>
        <c:lblOffset val="100"/>
        <c:noMultiLvlLbl val="0"/>
      </c:catAx>
      <c:valAx>
        <c:axId val="-516860672"/>
        <c:scaling>
          <c:orientation val="minMax"/>
        </c:scaling>
        <c:delete val="1"/>
        <c:axPos val="l"/>
        <c:numFmt formatCode="0.00%" sourceLinked="1"/>
        <c:majorTickMark val="none"/>
        <c:minorTickMark val="none"/>
        <c:tickLblPos val="none"/>
        <c:crossAx val="-516834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Mamuša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E120-4123-AF0E-BCEF7A9906D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Mamuša!$B$19:$E$19</c:f>
              <c:strCache>
                <c:ptCount val="4"/>
                <c:pt idx="0">
                  <c:v>Demokratsko upravljanje</c:v>
                </c:pt>
                <c:pt idx="1">
                  <c:v>Opštinsko upravljanje </c:v>
                </c:pt>
                <c:pt idx="2">
                  <c:v>Pružanje usluga</c:v>
                </c:pt>
                <c:pt idx="3">
                  <c:v>Ukupno</c:v>
                </c:pt>
              </c:strCache>
            </c:strRef>
          </c:cat>
          <c:val>
            <c:numRef>
              <c:f>Mamuša!$B$20:$E$20</c:f>
              <c:numCache>
                <c:formatCode>0.00</c:formatCode>
                <c:ptCount val="4"/>
                <c:pt idx="0">
                  <c:v>15</c:v>
                </c:pt>
                <c:pt idx="1">
                  <c:v>35.714285714285715</c:v>
                </c:pt>
                <c:pt idx="2">
                  <c:v>33.333333333333329</c:v>
                </c:pt>
                <c:pt idx="3">
                  <c:v>26.530612244897959</c:v>
                </c:pt>
              </c:numCache>
            </c:numRef>
          </c:val>
          <c:extLst xmlns:c16r2="http://schemas.microsoft.com/office/drawing/2015/06/chart">
            <c:ext xmlns:c16="http://schemas.microsoft.com/office/drawing/2014/chart" uri="{C3380CC4-5D6E-409C-BE32-E72D297353CC}">
              <c16:uniqueId val="{00000002-E120-4123-AF0E-BCEF7A9906D5}"/>
            </c:ext>
          </c:extLst>
        </c:ser>
        <c:dLbls>
          <c:showLegendKey val="0"/>
          <c:showVal val="0"/>
          <c:showCatName val="0"/>
          <c:showSerName val="0"/>
          <c:showPercent val="0"/>
          <c:showBubbleSize val="0"/>
        </c:dLbls>
        <c:gapWidth val="150"/>
        <c:overlap val="100"/>
        <c:axId val="-513061952"/>
        <c:axId val="-513046176"/>
      </c:barChart>
      <c:catAx>
        <c:axId val="-5130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46176"/>
        <c:crosses val="autoZero"/>
        <c:auto val="1"/>
        <c:lblAlgn val="ctr"/>
        <c:lblOffset val="100"/>
        <c:noMultiLvlLbl val="0"/>
      </c:catAx>
      <c:valAx>
        <c:axId val="-51304617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6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Južna Mitrovica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5970-4A7F-B9D2-EB4E77121D6E}"/>
              </c:ext>
            </c:extLst>
          </c:dPt>
          <c:cat>
            <c:strRef>
              <c:f>'Južna Mitrovica'!$B$2:$E$2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'Južna Mitrovica'!$B$3:$E$3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5970-4A7F-B9D2-EB4E77121D6E}"/>
            </c:ext>
          </c:extLst>
        </c:ser>
        <c:dLbls>
          <c:showLegendKey val="0"/>
          <c:showVal val="0"/>
          <c:showCatName val="0"/>
          <c:showSerName val="0"/>
          <c:showPercent val="0"/>
          <c:showBubbleSize val="0"/>
        </c:dLbls>
        <c:gapWidth val="182"/>
        <c:axId val="-513055968"/>
        <c:axId val="-513036928"/>
      </c:barChart>
      <c:catAx>
        <c:axId val="-513055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36928"/>
        <c:crosses val="autoZero"/>
        <c:auto val="1"/>
        <c:lblAlgn val="ctr"/>
        <c:lblOffset val="100"/>
        <c:noMultiLvlLbl val="0"/>
      </c:catAx>
      <c:valAx>
        <c:axId val="-513036928"/>
        <c:scaling>
          <c:orientation val="minMax"/>
        </c:scaling>
        <c:delete val="1"/>
        <c:axPos val="b"/>
        <c:numFmt formatCode="General" sourceLinked="1"/>
        <c:majorTickMark val="none"/>
        <c:minorTickMark val="none"/>
        <c:tickLblPos val="nextTo"/>
        <c:crossAx val="-5130559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Južna Mitrovica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1861-435F-9888-7CDB5CC24F38}"/>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'Južna Mitrovica'!$B$19:$E$19</c:f>
              <c:strCache>
                <c:ptCount val="4"/>
                <c:pt idx="0">
                  <c:v>Demokratsko upravljanje</c:v>
                </c:pt>
                <c:pt idx="1">
                  <c:v>Opštinsko upravljanje </c:v>
                </c:pt>
                <c:pt idx="2">
                  <c:v>Pružanje usluga</c:v>
                </c:pt>
                <c:pt idx="3">
                  <c:v>Ukupno</c:v>
                </c:pt>
              </c:strCache>
            </c:strRef>
          </c:cat>
          <c:val>
            <c:numRef>
              <c:f>'Južna Mitrovica'!$B$20:$E$20</c:f>
              <c:numCache>
                <c:formatCode>0.00</c:formatCode>
                <c:ptCount val="4"/>
                <c:pt idx="0">
                  <c:v>72.5</c:v>
                </c:pt>
                <c:pt idx="1">
                  <c:v>17.857142857142858</c:v>
                </c:pt>
                <c:pt idx="2">
                  <c:v>43.333333333333336</c:v>
                </c:pt>
                <c:pt idx="3">
                  <c:v>47.959183673469383</c:v>
                </c:pt>
              </c:numCache>
            </c:numRef>
          </c:val>
          <c:extLst xmlns:c16r2="http://schemas.microsoft.com/office/drawing/2015/06/chart">
            <c:ext xmlns:c16="http://schemas.microsoft.com/office/drawing/2014/chart" uri="{C3380CC4-5D6E-409C-BE32-E72D297353CC}">
              <c16:uniqueId val="{00000002-1861-435F-9888-7CDB5CC24F38}"/>
            </c:ext>
          </c:extLst>
        </c:ser>
        <c:dLbls>
          <c:showLegendKey val="0"/>
          <c:showVal val="0"/>
          <c:showCatName val="0"/>
          <c:showSerName val="0"/>
          <c:showPercent val="0"/>
          <c:showBubbleSize val="0"/>
        </c:dLbls>
        <c:gapWidth val="150"/>
        <c:overlap val="100"/>
        <c:axId val="-513064128"/>
        <c:axId val="-513049440"/>
      </c:barChart>
      <c:catAx>
        <c:axId val="-51306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49440"/>
        <c:crosses val="autoZero"/>
        <c:auto val="1"/>
        <c:lblAlgn val="ctr"/>
        <c:lblOffset val="100"/>
        <c:noMultiLvlLbl val="0"/>
      </c:catAx>
      <c:valAx>
        <c:axId val="-5130494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6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Severna Mitrovica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A73C-4FF3-8EBF-B965F46A72E1}"/>
              </c:ext>
            </c:extLst>
          </c:dPt>
          <c:cat>
            <c:strRef>
              <c:f>'Severna Mitrovica'!$B$2:$E$2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'Severna Mitrovica'!$B$3:$E$3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A73C-4FF3-8EBF-B965F46A72E1}"/>
            </c:ext>
          </c:extLst>
        </c:ser>
        <c:dLbls>
          <c:showLegendKey val="0"/>
          <c:showVal val="0"/>
          <c:showCatName val="0"/>
          <c:showSerName val="0"/>
          <c:showPercent val="0"/>
          <c:showBubbleSize val="0"/>
        </c:dLbls>
        <c:gapWidth val="182"/>
        <c:axId val="-513067936"/>
        <c:axId val="-513055424"/>
      </c:barChart>
      <c:catAx>
        <c:axId val="-51306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55424"/>
        <c:crosses val="autoZero"/>
        <c:auto val="1"/>
        <c:lblAlgn val="ctr"/>
        <c:lblOffset val="100"/>
        <c:noMultiLvlLbl val="0"/>
      </c:catAx>
      <c:valAx>
        <c:axId val="-513055424"/>
        <c:scaling>
          <c:orientation val="minMax"/>
        </c:scaling>
        <c:delete val="1"/>
        <c:axPos val="b"/>
        <c:numFmt formatCode="General" sourceLinked="1"/>
        <c:majorTickMark val="none"/>
        <c:minorTickMark val="none"/>
        <c:tickLblPos val="nextTo"/>
        <c:crossAx val="-51306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Severna Mitrovica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53E6-4D2A-9CDB-3B43DDDE205F}"/>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'Severna Mitrovica'!$B$19:$E$19</c:f>
              <c:strCache>
                <c:ptCount val="4"/>
                <c:pt idx="0">
                  <c:v>Demokratsko upravljanje</c:v>
                </c:pt>
                <c:pt idx="1">
                  <c:v>Opštinsko upravljanje </c:v>
                </c:pt>
                <c:pt idx="2">
                  <c:v>Pružanje usluga</c:v>
                </c:pt>
                <c:pt idx="3">
                  <c:v>Ukupno</c:v>
                </c:pt>
              </c:strCache>
            </c:strRef>
          </c:cat>
          <c:val>
            <c:numRef>
              <c:f>'Severna Mitrovica'!$B$20:$E$20</c:f>
              <c:numCache>
                <c:formatCode>0.00</c:formatCode>
                <c:ptCount val="4"/>
                <c:pt idx="0">
                  <c:v>10</c:v>
                </c:pt>
                <c:pt idx="1">
                  <c:v>17.857142857142858</c:v>
                </c:pt>
                <c:pt idx="2">
                  <c:v>13.333333333333334</c:v>
                </c:pt>
                <c:pt idx="3">
                  <c:v>13.26530612244898</c:v>
                </c:pt>
              </c:numCache>
            </c:numRef>
          </c:val>
          <c:extLst xmlns:c16r2="http://schemas.microsoft.com/office/drawing/2015/06/chart">
            <c:ext xmlns:c16="http://schemas.microsoft.com/office/drawing/2014/chart" uri="{C3380CC4-5D6E-409C-BE32-E72D297353CC}">
              <c16:uniqueId val="{00000002-53E6-4D2A-9CDB-3B43DDDE205F}"/>
            </c:ext>
          </c:extLst>
        </c:ser>
        <c:dLbls>
          <c:showLegendKey val="0"/>
          <c:showVal val="0"/>
          <c:showCatName val="0"/>
          <c:showSerName val="0"/>
          <c:showPercent val="0"/>
          <c:showBubbleSize val="0"/>
        </c:dLbls>
        <c:gapWidth val="219"/>
        <c:overlap val="-27"/>
        <c:axId val="-513045632"/>
        <c:axId val="-513067392"/>
      </c:barChart>
      <c:catAx>
        <c:axId val="-51304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67392"/>
        <c:crosses val="autoZero"/>
        <c:auto val="1"/>
        <c:lblAlgn val="ctr"/>
        <c:lblOffset val="100"/>
        <c:noMultiLvlLbl val="0"/>
      </c:catAx>
      <c:valAx>
        <c:axId val="-513067392"/>
        <c:scaling>
          <c:orientation val="minMax"/>
        </c:scaling>
        <c:delete val="1"/>
        <c:axPos val="l"/>
        <c:numFmt formatCode="0.00" sourceLinked="1"/>
        <c:majorTickMark val="none"/>
        <c:minorTickMark val="none"/>
        <c:tickLblPos val="nextTo"/>
        <c:crossAx val="-51304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solidFill>
                  <a:sysClr val="windowText" lastClr="000000"/>
                </a:solidFill>
              </a:rPr>
              <a:t>Novo Brdo</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B8C9-4734-AEE0-871B33C20B97}"/>
              </c:ext>
            </c:extLst>
          </c:dPt>
          <c:cat>
            <c:strRef>
              <c:f>'Novo Brdo'!$B$2:$E$2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'Novo Brdo'!$B$3:$E$3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B8C9-4734-AEE0-871B33C20B97}"/>
            </c:ext>
          </c:extLst>
        </c:ser>
        <c:dLbls>
          <c:showLegendKey val="0"/>
          <c:showVal val="0"/>
          <c:showCatName val="0"/>
          <c:showSerName val="0"/>
          <c:showPercent val="0"/>
          <c:showBubbleSize val="0"/>
        </c:dLbls>
        <c:gapWidth val="182"/>
        <c:axId val="-513045088"/>
        <c:axId val="-513066848"/>
      </c:barChart>
      <c:catAx>
        <c:axId val="-513045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66848"/>
        <c:crosses val="autoZero"/>
        <c:auto val="1"/>
        <c:lblAlgn val="ctr"/>
        <c:lblOffset val="100"/>
        <c:noMultiLvlLbl val="0"/>
      </c:catAx>
      <c:valAx>
        <c:axId val="-513066848"/>
        <c:scaling>
          <c:orientation val="minMax"/>
        </c:scaling>
        <c:delete val="1"/>
        <c:axPos val="b"/>
        <c:numFmt formatCode="General" sourceLinked="1"/>
        <c:majorTickMark val="none"/>
        <c:minorTickMark val="none"/>
        <c:tickLblPos val="nextTo"/>
        <c:crossAx val="-51304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Novo Brdo</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3-BA76-44F2-84ED-49EBB7D0FDC0}"/>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BA76-44F2-84ED-49EBB7D0FDC0}"/>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'Novo Brdo'!$B$19:$E$19</c:f>
              <c:strCache>
                <c:ptCount val="4"/>
                <c:pt idx="0">
                  <c:v>Demokratsko upravljanje</c:v>
                </c:pt>
                <c:pt idx="1">
                  <c:v>Opštinsko upravljanje </c:v>
                </c:pt>
                <c:pt idx="2">
                  <c:v>Pružanje usluga</c:v>
                </c:pt>
                <c:pt idx="3">
                  <c:v>Ukupno</c:v>
                </c:pt>
              </c:strCache>
            </c:strRef>
          </c:cat>
          <c:val>
            <c:numRef>
              <c:f>'Novo Brdo'!$B$20:$E$20</c:f>
              <c:numCache>
                <c:formatCode>0.00</c:formatCode>
                <c:ptCount val="4"/>
                <c:pt idx="0">
                  <c:v>0</c:v>
                </c:pt>
                <c:pt idx="1">
                  <c:v>0</c:v>
                </c:pt>
                <c:pt idx="2">
                  <c:v>6.666666666666667</c:v>
                </c:pt>
                <c:pt idx="3">
                  <c:v>2.0408163265306123</c:v>
                </c:pt>
              </c:numCache>
            </c:numRef>
          </c:val>
          <c:extLst xmlns:c16r2="http://schemas.microsoft.com/office/drawing/2015/06/chart">
            <c:ext xmlns:c16="http://schemas.microsoft.com/office/drawing/2014/chart" uri="{C3380CC4-5D6E-409C-BE32-E72D297353CC}">
              <c16:uniqueId val="{00000000-BA76-44F2-84ED-49EBB7D0FDC0}"/>
            </c:ext>
          </c:extLst>
        </c:ser>
        <c:dLbls>
          <c:showLegendKey val="0"/>
          <c:showVal val="0"/>
          <c:showCatName val="0"/>
          <c:showSerName val="0"/>
          <c:showPercent val="0"/>
          <c:showBubbleSize val="0"/>
        </c:dLbls>
        <c:gapWidth val="150"/>
        <c:overlap val="100"/>
        <c:axId val="-513053248"/>
        <c:axId val="-513065216"/>
      </c:barChart>
      <c:catAx>
        <c:axId val="-51305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65216"/>
        <c:crosses val="autoZero"/>
        <c:auto val="1"/>
        <c:lblAlgn val="ctr"/>
        <c:lblOffset val="100"/>
        <c:noMultiLvlLbl val="0"/>
      </c:catAx>
      <c:valAx>
        <c:axId val="-51306521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5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Obili</a:t>
            </a:r>
            <a:r>
              <a:rPr lang="sr-Latn-RS" sz="1300"/>
              <a:t>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953A-4CC9-B6E4-D9B3EF081C4C}"/>
              </c:ext>
            </c:extLst>
          </c:dPt>
          <c:cat>
            <c:strRef>
              <c:f>Obilić!$B$2:$E$2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Obilić!$B$3:$E$3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953A-4CC9-B6E4-D9B3EF081C4C}"/>
            </c:ext>
          </c:extLst>
        </c:ser>
        <c:dLbls>
          <c:showLegendKey val="0"/>
          <c:showVal val="0"/>
          <c:showCatName val="0"/>
          <c:showSerName val="0"/>
          <c:showPercent val="0"/>
          <c:showBubbleSize val="0"/>
        </c:dLbls>
        <c:gapWidth val="182"/>
        <c:axId val="-513057056"/>
        <c:axId val="-513064672"/>
      </c:barChart>
      <c:catAx>
        <c:axId val="-513057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64672"/>
        <c:crosses val="autoZero"/>
        <c:auto val="1"/>
        <c:lblAlgn val="ctr"/>
        <c:lblOffset val="100"/>
        <c:noMultiLvlLbl val="0"/>
      </c:catAx>
      <c:valAx>
        <c:axId val="-513064672"/>
        <c:scaling>
          <c:orientation val="minMax"/>
        </c:scaling>
        <c:delete val="1"/>
        <c:axPos val="b"/>
        <c:numFmt formatCode="General" sourceLinked="1"/>
        <c:majorTickMark val="none"/>
        <c:minorTickMark val="none"/>
        <c:tickLblPos val="nextTo"/>
        <c:crossAx val="-51305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Obili</a:t>
            </a:r>
            <a:r>
              <a:rPr lang="sr-Latn-RS" sz="1300"/>
              <a:t>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CC15-42EF-9D4D-D399A4D76730}"/>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Obilić!$B$19:$E$19</c:f>
              <c:strCache>
                <c:ptCount val="4"/>
                <c:pt idx="0">
                  <c:v>Demokratsko upravljanje</c:v>
                </c:pt>
                <c:pt idx="1">
                  <c:v>Opštinsko upravljanje </c:v>
                </c:pt>
                <c:pt idx="2">
                  <c:v>Pružanje usluga</c:v>
                </c:pt>
                <c:pt idx="3">
                  <c:v>Ukupno</c:v>
                </c:pt>
              </c:strCache>
            </c:strRef>
          </c:cat>
          <c:val>
            <c:numRef>
              <c:f>Obilić!$B$20:$E$20</c:f>
              <c:numCache>
                <c:formatCode>0.00</c:formatCode>
                <c:ptCount val="4"/>
                <c:pt idx="0">
                  <c:v>97.5</c:v>
                </c:pt>
                <c:pt idx="1">
                  <c:v>64.285714285714292</c:v>
                </c:pt>
                <c:pt idx="2">
                  <c:v>50</c:v>
                </c:pt>
                <c:pt idx="3">
                  <c:v>73.469387755102048</c:v>
                </c:pt>
              </c:numCache>
            </c:numRef>
          </c:val>
          <c:extLst xmlns:c16r2="http://schemas.microsoft.com/office/drawing/2015/06/chart">
            <c:ext xmlns:c16="http://schemas.microsoft.com/office/drawing/2014/chart" uri="{C3380CC4-5D6E-409C-BE32-E72D297353CC}">
              <c16:uniqueId val="{00000002-CC15-42EF-9D4D-D399A4D76730}"/>
            </c:ext>
          </c:extLst>
        </c:ser>
        <c:dLbls>
          <c:showLegendKey val="0"/>
          <c:showVal val="0"/>
          <c:showCatName val="0"/>
          <c:showSerName val="0"/>
          <c:showPercent val="0"/>
          <c:showBubbleSize val="0"/>
        </c:dLbls>
        <c:gapWidth val="150"/>
        <c:overlap val="100"/>
        <c:axId val="-513042368"/>
        <c:axId val="-513056512"/>
      </c:barChart>
      <c:catAx>
        <c:axId val="-51304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56512"/>
        <c:crosses val="autoZero"/>
        <c:auto val="1"/>
        <c:lblAlgn val="ctr"/>
        <c:lblOffset val="100"/>
        <c:noMultiLvlLbl val="0"/>
      </c:catAx>
      <c:valAx>
        <c:axId val="-51305651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Parte</a:t>
            </a:r>
            <a:r>
              <a:rPr lang="sr-Latn-RS" sz="1300"/>
              <a:t>š</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cat>
            <c:strRef>
              <c:f>Parteš!$B$2:$E$2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Parteš!$B$3:$E$3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0762-444E-B8C3-9D772F28A66E}"/>
            </c:ext>
          </c:extLst>
        </c:ser>
        <c:dLbls>
          <c:showLegendKey val="0"/>
          <c:showVal val="0"/>
          <c:showCatName val="0"/>
          <c:showSerName val="0"/>
          <c:showPercent val="0"/>
          <c:showBubbleSize val="0"/>
        </c:dLbls>
        <c:gapWidth val="182"/>
        <c:axId val="-513039648"/>
        <c:axId val="-513038560"/>
      </c:barChart>
      <c:catAx>
        <c:axId val="-513039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38560"/>
        <c:crosses val="autoZero"/>
        <c:auto val="1"/>
        <c:lblAlgn val="ctr"/>
        <c:lblOffset val="100"/>
        <c:noMultiLvlLbl val="0"/>
      </c:catAx>
      <c:valAx>
        <c:axId val="-513038560"/>
        <c:scaling>
          <c:orientation val="minMax"/>
        </c:scaling>
        <c:delete val="1"/>
        <c:axPos val="b"/>
        <c:numFmt formatCode="General" sourceLinked="1"/>
        <c:majorTickMark val="none"/>
        <c:minorTickMark val="none"/>
        <c:tickLblPos val="nextTo"/>
        <c:crossAx val="-51303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0.27314814814814814"/>
          <c:w val="0.93888888888888899"/>
          <c:h val="0.64202172645086064"/>
        </c:manualLayout>
      </c:layout>
      <c:lineChart>
        <c:grouping val="standard"/>
        <c:varyColors val="0"/>
        <c:ser>
          <c:idx val="0"/>
          <c:order val="0"/>
          <c:spPr>
            <a:ln w="34925" cap="rnd">
              <a:solidFill>
                <a:schemeClr val="lt1"/>
              </a:solidFill>
              <a:round/>
            </a:ln>
            <a:effectLst>
              <a:outerShdw dist="25400" dir="2700000" algn="tl" rotWithShape="0">
                <a:schemeClr val="accent1"/>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'Grafiku 5&amp;6,11'!$N$3:$P$3</c:f>
              <c:strCache>
                <c:ptCount val="3"/>
                <c:pt idx="0">
                  <c:v>GOU 2023</c:v>
                </c:pt>
                <c:pt idx="1">
                  <c:v>GOU 2024</c:v>
                </c:pt>
                <c:pt idx="2">
                  <c:v>GOU 2025</c:v>
                </c:pt>
              </c:strCache>
            </c:strRef>
          </c:cat>
          <c:val>
            <c:numRef>
              <c:f>'Grafiku 5&amp;6,11'!$N$4:$P$4</c:f>
              <c:numCache>
                <c:formatCode>0.0%</c:formatCode>
                <c:ptCount val="3"/>
                <c:pt idx="0">
                  <c:v>0.57069999999999999</c:v>
                </c:pt>
                <c:pt idx="1">
                  <c:v>0.49809999999999999</c:v>
                </c:pt>
                <c:pt idx="2">
                  <c:v>0.60277777777777775</c:v>
                </c:pt>
              </c:numCache>
            </c:numRef>
          </c:val>
          <c:smooth val="0"/>
          <c:extLst xmlns:c16r2="http://schemas.microsoft.com/office/drawing/2015/06/chart">
            <c:ext xmlns:c16="http://schemas.microsoft.com/office/drawing/2014/chart" uri="{C3380CC4-5D6E-409C-BE32-E72D297353CC}">
              <c16:uniqueId val="{00000000-637D-4348-B4F9-26E1509AC34F}"/>
            </c:ext>
          </c:extLst>
        </c:ser>
        <c:dLbls>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516849792"/>
        <c:axId val="-516859584"/>
      </c:lineChart>
      <c:catAx>
        <c:axId val="-5168497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US" sz="1000" b="1" i="0" u="none" strike="noStrike" kern="1200" baseline="0">
                    <a:solidFill>
                      <a:sysClr val="window" lastClr="FFFFFF"/>
                    </a:solidFill>
                  </a:rPr>
                  <a:t>Prosečan učinak opština korisnica u MPG u poslednje tri godine</a:t>
                </a:r>
              </a:p>
            </c:rich>
          </c:tx>
          <c:layout>
            <c:manualLayout>
              <c:xMode val="edge"/>
              <c:yMode val="edge"/>
              <c:x val="0.19001377952755907"/>
              <c:y val="5.099518810148731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en-US"/>
          </a:p>
        </c:txPr>
        <c:crossAx val="-516859584"/>
        <c:crosses val="autoZero"/>
        <c:auto val="1"/>
        <c:lblAlgn val="ctr"/>
        <c:lblOffset val="100"/>
        <c:noMultiLvlLbl val="0"/>
      </c:catAx>
      <c:valAx>
        <c:axId val="-516859584"/>
        <c:scaling>
          <c:orientation val="minMax"/>
        </c:scaling>
        <c:delete val="1"/>
        <c:axPos val="l"/>
        <c:numFmt formatCode="0.0%" sourceLinked="1"/>
        <c:majorTickMark val="none"/>
        <c:minorTickMark val="none"/>
        <c:tickLblPos val="none"/>
        <c:crossAx val="-516849792"/>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Parte</a:t>
            </a:r>
            <a:r>
              <a:rPr lang="sr-Latn-RS" sz="1300"/>
              <a:t>š</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5EB-4E2E-A0FD-C1D5D5D09EF8}"/>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Parteš!$B$20:$E$20</c:f>
              <c:strCache>
                <c:ptCount val="4"/>
                <c:pt idx="0">
                  <c:v>Demokratsko upravljanje</c:v>
                </c:pt>
                <c:pt idx="1">
                  <c:v>Opštinsko upravljanje </c:v>
                </c:pt>
                <c:pt idx="2">
                  <c:v>Pružanje usluga</c:v>
                </c:pt>
                <c:pt idx="3">
                  <c:v>Ukupno</c:v>
                </c:pt>
              </c:strCache>
            </c:strRef>
          </c:cat>
          <c:val>
            <c:numRef>
              <c:f>Parteš!$B$21:$E$21</c:f>
              <c:numCache>
                <c:formatCode>0.00</c:formatCode>
                <c:ptCount val="4"/>
                <c:pt idx="0">
                  <c:v>17.5</c:v>
                </c:pt>
                <c:pt idx="1">
                  <c:v>7.1428571428571423</c:v>
                </c:pt>
                <c:pt idx="2">
                  <c:v>6.666666666666667</c:v>
                </c:pt>
                <c:pt idx="3">
                  <c:v>11.224489795918368</c:v>
                </c:pt>
              </c:numCache>
            </c:numRef>
          </c:val>
          <c:extLst xmlns:c16r2="http://schemas.microsoft.com/office/drawing/2015/06/chart">
            <c:ext xmlns:c16="http://schemas.microsoft.com/office/drawing/2014/chart" uri="{C3380CC4-5D6E-409C-BE32-E72D297353CC}">
              <c16:uniqueId val="{00000002-05EB-4E2E-A0FD-C1D5D5D09EF8}"/>
            </c:ext>
          </c:extLst>
        </c:ser>
        <c:dLbls>
          <c:showLegendKey val="0"/>
          <c:showVal val="0"/>
          <c:showCatName val="0"/>
          <c:showSerName val="0"/>
          <c:showPercent val="0"/>
          <c:showBubbleSize val="0"/>
        </c:dLbls>
        <c:gapWidth val="150"/>
        <c:overlap val="100"/>
        <c:axId val="-513069568"/>
        <c:axId val="-513035840"/>
      </c:barChart>
      <c:catAx>
        <c:axId val="-51306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3035840"/>
        <c:crosses val="autoZero"/>
        <c:auto val="1"/>
        <c:lblAlgn val="ctr"/>
        <c:lblOffset val="100"/>
        <c:noMultiLvlLbl val="0"/>
      </c:catAx>
      <c:valAx>
        <c:axId val="-5130358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306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Peć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5D7E-49B0-9D42-FFEFDD641A85}"/>
              </c:ext>
            </c:extLst>
          </c:dPt>
          <c:cat>
            <c:strRef>
              <c:f>Peć!$B$2:$E$2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Peć!$B$3:$E$3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5D7E-49B0-9D42-FFEFDD641A85}"/>
            </c:ext>
          </c:extLst>
        </c:ser>
        <c:dLbls>
          <c:showLegendKey val="0"/>
          <c:showVal val="0"/>
          <c:showCatName val="0"/>
          <c:showSerName val="0"/>
          <c:showPercent val="0"/>
          <c:showBubbleSize val="0"/>
        </c:dLbls>
        <c:gapWidth val="182"/>
        <c:axId val="-513035296"/>
        <c:axId val="-513066304"/>
      </c:barChart>
      <c:catAx>
        <c:axId val="-51303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3066304"/>
        <c:crosses val="autoZero"/>
        <c:auto val="1"/>
        <c:lblAlgn val="ctr"/>
        <c:lblOffset val="100"/>
        <c:noMultiLvlLbl val="0"/>
      </c:catAx>
      <c:valAx>
        <c:axId val="-513066304"/>
        <c:scaling>
          <c:orientation val="minMax"/>
        </c:scaling>
        <c:delete val="1"/>
        <c:axPos val="b"/>
        <c:numFmt formatCode="General" sourceLinked="1"/>
        <c:majorTickMark val="none"/>
        <c:minorTickMark val="none"/>
        <c:tickLblPos val="nextTo"/>
        <c:crossAx val="-51303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Peć</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E241-4559-B5F9-3840677B5D60}"/>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Peć!$B$19:$E$19</c:f>
              <c:strCache>
                <c:ptCount val="4"/>
                <c:pt idx="0">
                  <c:v>Demokratsko upravljanje</c:v>
                </c:pt>
                <c:pt idx="1">
                  <c:v>Opštinsko upravljanje </c:v>
                </c:pt>
                <c:pt idx="2">
                  <c:v>Pružanje usluga</c:v>
                </c:pt>
                <c:pt idx="3">
                  <c:v>Ukupno</c:v>
                </c:pt>
              </c:strCache>
            </c:strRef>
          </c:cat>
          <c:val>
            <c:numRef>
              <c:f>Peć!$B$20:$E$20</c:f>
              <c:numCache>
                <c:formatCode>0.00</c:formatCode>
                <c:ptCount val="4"/>
                <c:pt idx="0">
                  <c:v>45</c:v>
                </c:pt>
                <c:pt idx="1">
                  <c:v>39.285714285714285</c:v>
                </c:pt>
                <c:pt idx="2">
                  <c:v>53.333333333333336</c:v>
                </c:pt>
                <c:pt idx="3">
                  <c:v>45.91836734693878</c:v>
                </c:pt>
              </c:numCache>
            </c:numRef>
          </c:val>
          <c:extLst xmlns:c16r2="http://schemas.microsoft.com/office/drawing/2015/06/chart">
            <c:ext xmlns:c16="http://schemas.microsoft.com/office/drawing/2014/chart" uri="{C3380CC4-5D6E-409C-BE32-E72D297353CC}">
              <c16:uniqueId val="{00000002-E241-4559-B5F9-3840677B5D60}"/>
            </c:ext>
          </c:extLst>
        </c:ser>
        <c:dLbls>
          <c:showLegendKey val="0"/>
          <c:showVal val="0"/>
          <c:showCatName val="0"/>
          <c:showSerName val="0"/>
          <c:showPercent val="0"/>
          <c:showBubbleSize val="0"/>
        </c:dLbls>
        <c:gapWidth val="219"/>
        <c:overlap val="-27"/>
        <c:axId val="-513058144"/>
        <c:axId val="-511304288"/>
      </c:barChart>
      <c:catAx>
        <c:axId val="-51305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304288"/>
        <c:crosses val="autoZero"/>
        <c:auto val="1"/>
        <c:lblAlgn val="ctr"/>
        <c:lblOffset val="100"/>
        <c:noMultiLvlLbl val="0"/>
      </c:catAx>
      <c:valAx>
        <c:axId val="-511304288"/>
        <c:scaling>
          <c:orientation val="minMax"/>
        </c:scaling>
        <c:delete val="1"/>
        <c:axPos val="l"/>
        <c:numFmt formatCode="0.00" sourceLinked="1"/>
        <c:majorTickMark val="none"/>
        <c:minorTickMark val="none"/>
        <c:tickLblPos val="nextTo"/>
        <c:crossAx val="-51305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Podujev</a:t>
            </a:r>
            <a:r>
              <a:rPr lang="sr-Latn-RS" sz="1300"/>
              <a:t>o</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E55B-43CB-BECD-E2A67D857A58}"/>
              </c:ext>
            </c:extLst>
          </c:dPt>
          <c:cat>
            <c:strRef>
              <c:f>Podujevo!$B$2:$E$2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Podujevo!$B$3:$E$3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E55B-43CB-BECD-E2A67D857A58}"/>
            </c:ext>
          </c:extLst>
        </c:ser>
        <c:dLbls>
          <c:showLegendKey val="0"/>
          <c:showVal val="0"/>
          <c:showCatName val="0"/>
          <c:showSerName val="0"/>
          <c:showPercent val="0"/>
          <c:showBubbleSize val="0"/>
        </c:dLbls>
        <c:gapWidth val="182"/>
        <c:axId val="-511308640"/>
        <c:axId val="-511285792"/>
      </c:barChart>
      <c:catAx>
        <c:axId val="-511308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85792"/>
        <c:crosses val="autoZero"/>
        <c:auto val="1"/>
        <c:lblAlgn val="ctr"/>
        <c:lblOffset val="100"/>
        <c:noMultiLvlLbl val="0"/>
      </c:catAx>
      <c:valAx>
        <c:axId val="-511285792"/>
        <c:scaling>
          <c:orientation val="minMax"/>
        </c:scaling>
        <c:delete val="1"/>
        <c:axPos val="b"/>
        <c:numFmt formatCode="General" sourceLinked="1"/>
        <c:majorTickMark val="none"/>
        <c:minorTickMark val="none"/>
        <c:tickLblPos val="nextTo"/>
        <c:crossAx val="-51130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Podujev</a:t>
            </a:r>
            <a:r>
              <a:rPr lang="sr-Latn-RS" sz="1300"/>
              <a:t>o</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2479-428E-B6E5-7A41D21046A3}"/>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Podujevo!$B$19:$E$19</c:f>
              <c:strCache>
                <c:ptCount val="4"/>
                <c:pt idx="0">
                  <c:v>Demokratsko upravljanje</c:v>
                </c:pt>
                <c:pt idx="1">
                  <c:v>Opštinsko upravljanje </c:v>
                </c:pt>
                <c:pt idx="2">
                  <c:v>Pružanje usluga</c:v>
                </c:pt>
                <c:pt idx="3">
                  <c:v>Ukupno</c:v>
                </c:pt>
              </c:strCache>
            </c:strRef>
          </c:cat>
          <c:val>
            <c:numRef>
              <c:f>Podujevo!$B$20:$E$20</c:f>
              <c:numCache>
                <c:formatCode>0.00</c:formatCode>
                <c:ptCount val="4"/>
                <c:pt idx="0">
                  <c:v>65</c:v>
                </c:pt>
                <c:pt idx="1">
                  <c:v>46.428571428571431</c:v>
                </c:pt>
                <c:pt idx="2">
                  <c:v>40</c:v>
                </c:pt>
                <c:pt idx="3">
                  <c:v>52.040816326530617</c:v>
                </c:pt>
              </c:numCache>
            </c:numRef>
          </c:val>
          <c:extLst xmlns:c16r2="http://schemas.microsoft.com/office/drawing/2015/06/chart">
            <c:ext xmlns:c16="http://schemas.microsoft.com/office/drawing/2014/chart" uri="{C3380CC4-5D6E-409C-BE32-E72D297353CC}">
              <c16:uniqueId val="{00000002-2479-428E-B6E5-7A41D21046A3}"/>
            </c:ext>
          </c:extLst>
        </c:ser>
        <c:dLbls>
          <c:showLegendKey val="0"/>
          <c:showVal val="0"/>
          <c:showCatName val="0"/>
          <c:showSerName val="0"/>
          <c:showPercent val="0"/>
          <c:showBubbleSize val="0"/>
        </c:dLbls>
        <c:gapWidth val="219"/>
        <c:overlap val="-27"/>
        <c:axId val="-511304832"/>
        <c:axId val="-511290144"/>
      </c:barChart>
      <c:catAx>
        <c:axId val="-51130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90144"/>
        <c:crosses val="autoZero"/>
        <c:auto val="1"/>
        <c:lblAlgn val="ctr"/>
        <c:lblOffset val="100"/>
        <c:noMultiLvlLbl val="0"/>
      </c:catAx>
      <c:valAx>
        <c:axId val="-511290144"/>
        <c:scaling>
          <c:orientation val="minMax"/>
        </c:scaling>
        <c:delete val="1"/>
        <c:axPos val="l"/>
        <c:numFmt formatCode="0.00" sourceLinked="1"/>
        <c:majorTickMark val="none"/>
        <c:minorTickMark val="none"/>
        <c:tickLblPos val="nextTo"/>
        <c:crossAx val="-51130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defRPr>
      </a:pPr>
      <a:endParaRPr lang="en-US"/>
    </a:p>
  </c:txPr>
  <c:externalData r:id="rId3">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sr-Latn-RS" sz="1300"/>
              <a:t>Priština</a:t>
            </a:r>
            <a:endParaRPr lang="en-US" sz="1300"/>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B106-4616-849C-E82EB80AE8D4}"/>
              </c:ext>
            </c:extLst>
          </c:dPt>
          <c:cat>
            <c:strRef>
              <c:f>Priština!$B$2:$E$2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Priština!$B$3:$E$3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B106-4616-849C-E82EB80AE8D4}"/>
            </c:ext>
          </c:extLst>
        </c:ser>
        <c:dLbls>
          <c:showLegendKey val="0"/>
          <c:showVal val="0"/>
          <c:showCatName val="0"/>
          <c:showSerName val="0"/>
          <c:showPercent val="0"/>
          <c:showBubbleSize val="0"/>
        </c:dLbls>
        <c:gapWidth val="182"/>
        <c:axId val="-511280352"/>
        <c:axId val="-511307008"/>
      </c:barChart>
      <c:catAx>
        <c:axId val="-511280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307008"/>
        <c:crosses val="autoZero"/>
        <c:auto val="1"/>
        <c:lblAlgn val="ctr"/>
        <c:lblOffset val="100"/>
        <c:noMultiLvlLbl val="0"/>
      </c:catAx>
      <c:valAx>
        <c:axId val="-511307008"/>
        <c:scaling>
          <c:orientation val="minMax"/>
        </c:scaling>
        <c:delete val="1"/>
        <c:axPos val="b"/>
        <c:numFmt formatCode="General" sourceLinked="1"/>
        <c:majorTickMark val="none"/>
        <c:minorTickMark val="none"/>
        <c:tickLblPos val="nextTo"/>
        <c:crossAx val="-51128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300" b="0" i="0" u="none" strike="noStrike" kern="1200" spc="0" baseline="0">
                <a:solidFill>
                  <a:sysClr val="windowText" lastClr="000000"/>
                </a:solidFill>
                <a:latin typeface="+mn-lt"/>
                <a:ea typeface="+mn-ea"/>
                <a:cs typeface="+mn-cs"/>
              </a:defRPr>
            </a:pPr>
            <a:r>
              <a:rPr lang="sr-Latn-RS" sz="1300" b="0" i="0" baseline="0">
                <a:effectLst/>
              </a:rPr>
              <a:t>Priština</a:t>
            </a:r>
            <a:endParaRPr lang="en-US" sz="1300">
              <a:effectLst/>
            </a:endParaRPr>
          </a:p>
          <a:p>
            <a:pPr marL="0" marR="0" indent="0" algn="ctr" defTabSz="914400" rtl="0" eaLnBrk="1" fontAlgn="auto" latinLnBrk="0" hangingPunct="1">
              <a:lnSpc>
                <a:spcPct val="100000"/>
              </a:lnSpc>
              <a:spcBef>
                <a:spcPts val="0"/>
              </a:spcBef>
              <a:spcAft>
                <a:spcPts val="0"/>
              </a:spcAft>
              <a:buClrTx/>
              <a:buSzTx/>
              <a:buFontTx/>
              <a:buNone/>
              <a:tabLst/>
              <a:defRPr sz="1300"/>
            </a:pPr>
            <a:endParaRPr lang="en-US" sz="13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E076-4428-BD54-A66B5C237B1C}"/>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Priština!$B$19:$E$19</c:f>
              <c:strCache>
                <c:ptCount val="4"/>
                <c:pt idx="0">
                  <c:v>Demokratsko upravljanje</c:v>
                </c:pt>
                <c:pt idx="1">
                  <c:v>Opštinsko upravljanje </c:v>
                </c:pt>
                <c:pt idx="2">
                  <c:v>Pružanje usluga</c:v>
                </c:pt>
                <c:pt idx="3">
                  <c:v>Ukupno</c:v>
                </c:pt>
              </c:strCache>
            </c:strRef>
          </c:cat>
          <c:val>
            <c:numRef>
              <c:f>Priština!$B$20:$E$20</c:f>
              <c:numCache>
                <c:formatCode>0.00</c:formatCode>
                <c:ptCount val="4"/>
                <c:pt idx="0">
                  <c:v>12.5</c:v>
                </c:pt>
                <c:pt idx="1">
                  <c:v>57.142857142857139</c:v>
                </c:pt>
                <c:pt idx="2">
                  <c:v>26.666666666666668</c:v>
                </c:pt>
                <c:pt idx="3">
                  <c:v>29.591836734693878</c:v>
                </c:pt>
              </c:numCache>
            </c:numRef>
          </c:val>
          <c:extLst xmlns:c16r2="http://schemas.microsoft.com/office/drawing/2015/06/chart">
            <c:ext xmlns:c16="http://schemas.microsoft.com/office/drawing/2014/chart" uri="{C3380CC4-5D6E-409C-BE32-E72D297353CC}">
              <c16:uniqueId val="{00000002-E076-4428-BD54-A66B5C237B1C}"/>
            </c:ext>
          </c:extLst>
        </c:ser>
        <c:dLbls>
          <c:showLegendKey val="0"/>
          <c:showVal val="0"/>
          <c:showCatName val="0"/>
          <c:showSerName val="0"/>
          <c:showPercent val="0"/>
          <c:showBubbleSize val="0"/>
        </c:dLbls>
        <c:gapWidth val="150"/>
        <c:overlap val="100"/>
        <c:axId val="-511293408"/>
        <c:axId val="-511281440"/>
      </c:barChart>
      <c:catAx>
        <c:axId val="-51129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81440"/>
        <c:crosses val="autoZero"/>
        <c:auto val="1"/>
        <c:lblAlgn val="ctr"/>
        <c:lblOffset val="100"/>
        <c:noMultiLvlLbl val="0"/>
      </c:catAx>
      <c:valAx>
        <c:axId val="-5112814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9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Prizren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DF96-4B35-81F2-96CB07B4DB4F}"/>
              </c:ext>
            </c:extLst>
          </c:dPt>
          <c:cat>
            <c:strRef>
              <c:f>Prizren!$B$2:$E$2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Prizren!$B$3:$E$3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DF96-4B35-81F2-96CB07B4DB4F}"/>
            </c:ext>
          </c:extLst>
        </c:ser>
        <c:dLbls>
          <c:showLegendKey val="0"/>
          <c:showVal val="0"/>
          <c:showCatName val="0"/>
          <c:showSerName val="0"/>
          <c:showPercent val="0"/>
          <c:showBubbleSize val="0"/>
        </c:dLbls>
        <c:gapWidth val="182"/>
        <c:axId val="-511291232"/>
        <c:axId val="-511292864"/>
      </c:barChart>
      <c:catAx>
        <c:axId val="-511291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92864"/>
        <c:crosses val="autoZero"/>
        <c:auto val="1"/>
        <c:lblAlgn val="ctr"/>
        <c:lblOffset val="100"/>
        <c:noMultiLvlLbl val="0"/>
      </c:catAx>
      <c:valAx>
        <c:axId val="-511292864"/>
        <c:scaling>
          <c:orientation val="minMax"/>
        </c:scaling>
        <c:delete val="1"/>
        <c:axPos val="b"/>
        <c:numFmt formatCode="General" sourceLinked="1"/>
        <c:majorTickMark val="none"/>
        <c:minorTickMark val="none"/>
        <c:tickLblPos val="nextTo"/>
        <c:crossAx val="-51129123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Prizren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8B87-4E90-BBD9-41B12E2C261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Prizren!$B$19:$E$19</c:f>
              <c:strCache>
                <c:ptCount val="4"/>
                <c:pt idx="0">
                  <c:v>Demokratsko upravljanje</c:v>
                </c:pt>
                <c:pt idx="1">
                  <c:v>Opštinsko upravljanje </c:v>
                </c:pt>
                <c:pt idx="2">
                  <c:v>Pružanje usluga</c:v>
                </c:pt>
                <c:pt idx="3">
                  <c:v>Ukupno</c:v>
                </c:pt>
              </c:strCache>
            </c:strRef>
          </c:cat>
          <c:val>
            <c:numRef>
              <c:f>Prizren!$B$20:$E$20</c:f>
              <c:numCache>
                <c:formatCode>0.00</c:formatCode>
                <c:ptCount val="4"/>
                <c:pt idx="0">
                  <c:v>77.5</c:v>
                </c:pt>
                <c:pt idx="1">
                  <c:v>78.571428571428569</c:v>
                </c:pt>
                <c:pt idx="2">
                  <c:v>60</c:v>
                </c:pt>
                <c:pt idx="3">
                  <c:v>72.448979591836732</c:v>
                </c:pt>
              </c:numCache>
            </c:numRef>
          </c:val>
          <c:extLst xmlns:c16r2="http://schemas.microsoft.com/office/drawing/2015/06/chart">
            <c:ext xmlns:c16="http://schemas.microsoft.com/office/drawing/2014/chart" uri="{C3380CC4-5D6E-409C-BE32-E72D297353CC}">
              <c16:uniqueId val="{00000002-8B87-4E90-BBD9-41B12E2C261E}"/>
            </c:ext>
          </c:extLst>
        </c:ser>
        <c:dLbls>
          <c:showLegendKey val="0"/>
          <c:showVal val="0"/>
          <c:showCatName val="0"/>
          <c:showSerName val="0"/>
          <c:showPercent val="0"/>
          <c:showBubbleSize val="0"/>
        </c:dLbls>
        <c:gapWidth val="150"/>
        <c:overlap val="100"/>
        <c:axId val="-511284704"/>
        <c:axId val="-511287424"/>
      </c:barChart>
      <c:catAx>
        <c:axId val="-5112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87424"/>
        <c:crosses val="autoZero"/>
        <c:auto val="1"/>
        <c:lblAlgn val="ctr"/>
        <c:lblOffset val="100"/>
        <c:noMultiLvlLbl val="0"/>
      </c:catAx>
      <c:valAx>
        <c:axId val="-5112874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8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Orahovac</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cat>
            <c:strRef>
              <c:f>Orahovac!$B$2:$E$2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Orahovac!$B$3:$E$3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7E2B-495B-83D7-15EA13BD7551}"/>
            </c:ext>
          </c:extLst>
        </c:ser>
        <c:dLbls>
          <c:showLegendKey val="0"/>
          <c:showVal val="0"/>
          <c:showCatName val="0"/>
          <c:showSerName val="0"/>
          <c:showPercent val="0"/>
          <c:showBubbleSize val="0"/>
        </c:dLbls>
        <c:gapWidth val="182"/>
        <c:axId val="-511286336"/>
        <c:axId val="-511284160"/>
      </c:barChart>
      <c:catAx>
        <c:axId val="-51128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84160"/>
        <c:crosses val="autoZero"/>
        <c:auto val="1"/>
        <c:lblAlgn val="ctr"/>
        <c:lblOffset val="100"/>
        <c:noMultiLvlLbl val="0"/>
      </c:catAx>
      <c:valAx>
        <c:axId val="-511284160"/>
        <c:scaling>
          <c:orientation val="minMax"/>
        </c:scaling>
        <c:delete val="1"/>
        <c:axPos val="b"/>
        <c:numFmt formatCode="General" sourceLinked="1"/>
        <c:majorTickMark val="none"/>
        <c:minorTickMark val="none"/>
        <c:tickLblPos val="nextTo"/>
        <c:crossAx val="-51128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ysClr val="windowText" lastClr="000000"/>
                </a:solidFill>
                <a:latin typeface="+mn-lt"/>
                <a:ea typeface="+mn-ea"/>
                <a:cs typeface="+mn-cs"/>
              </a:defRPr>
            </a:pPr>
            <a:r>
              <a:rPr lang="en-US" sz="1400" b="0" i="0" u="none" strike="noStrike" baseline="0">
                <a:solidFill>
                  <a:sysClr val="windowText" lastClr="000000"/>
                </a:solidFill>
              </a:rPr>
              <a:t>Opšti učinak Granta opštinskog učinaka (GOU) 2026</a:t>
            </a:r>
            <a:endParaRPr lang="en-US">
              <a:solidFill>
                <a:sysClr val="windowText" lastClr="000000"/>
              </a:solidFill>
            </a:endParaRPr>
          </a:p>
        </c:rich>
      </c:tx>
      <c:layout>
        <c:manualLayout>
          <c:xMode val="edge"/>
          <c:yMode val="edge"/>
          <c:x val="0.22694673325485984"/>
          <c:y val="1.340997693791815E-2"/>
        </c:manualLayout>
      </c:layout>
      <c:overlay val="0"/>
      <c:spPr>
        <a:noFill/>
        <a:ln>
          <a:noFill/>
        </a:ln>
        <a:effectLst/>
      </c:spPr>
      <c:txPr>
        <a:bodyPr rot="0" spcFirstLastPara="1" vertOverflow="ellipsis" vert="horz" wrap="square" anchor="ctr" anchorCtr="1"/>
        <a:lstStyle/>
        <a:p>
          <a:pPr>
            <a:defRPr sz="1400" b="0" i="0" u="none" strike="noStrike"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Sheet2!$A$5:$A$42</c:f>
              <c:strCache>
                <c:ptCount val="38"/>
                <c:pt idx="0">
                  <c:v>Klokot Vrbovac/Kllokot Vërbovc</c:v>
                </c:pt>
                <c:pt idx="1">
                  <c:v>Leposavić/Leposaviq </c:v>
                </c:pt>
                <c:pt idx="2">
                  <c:v>Štrpce/Shtërpcë </c:v>
                </c:pt>
                <c:pt idx="3">
                  <c:v>Zubin Potok/Zubin Potok </c:v>
                </c:pt>
                <c:pt idx="4">
                  <c:v>Zvečan/Zveçan</c:v>
                </c:pt>
                <c:pt idx="5">
                  <c:v>Novo Brdo/Novobërdë </c:v>
                </c:pt>
                <c:pt idx="6">
                  <c:v>Parteš/Partesh </c:v>
                </c:pt>
                <c:pt idx="7">
                  <c:v>Severna Mitrovica/Mitrovicë e veriut </c:v>
                </c:pt>
                <c:pt idx="8">
                  <c:v>Ranilug/Ranillug </c:v>
                </c:pt>
                <c:pt idx="9">
                  <c:v>Gračanica/Graçanicë </c:v>
                </c:pt>
                <c:pt idx="10">
                  <c:v>Malishevë/Mališevo</c:v>
                </c:pt>
                <c:pt idx="11">
                  <c:v>Mamushë/Mamuša</c:v>
                </c:pt>
                <c:pt idx="12">
                  <c:v>Prishtinë/Priština</c:v>
                </c:pt>
                <c:pt idx="13">
                  <c:v>Viti/Vitina</c:v>
                </c:pt>
                <c:pt idx="14">
                  <c:v>Kamenicë/Kamenica </c:v>
                </c:pt>
                <c:pt idx="15">
                  <c:v>Kaçanik/Kačanik</c:v>
                </c:pt>
                <c:pt idx="16">
                  <c:v>Fushë Kosovë/Kosovo Polje</c:v>
                </c:pt>
                <c:pt idx="17">
                  <c:v>Gjilan/Gnjilane</c:v>
                </c:pt>
                <c:pt idx="18">
                  <c:v>Pejë/Peć</c:v>
                </c:pt>
                <c:pt idx="19">
                  <c:v>Mitrovicë e jugut/Južna Mitrovica</c:v>
                </c:pt>
                <c:pt idx="20">
                  <c:v>Shtime/Štimlje </c:v>
                </c:pt>
                <c:pt idx="21">
                  <c:v>Podujevë/Podujevo</c:v>
                </c:pt>
                <c:pt idx="22">
                  <c:v>Gjakovë/Đakovica </c:v>
                </c:pt>
                <c:pt idx="23">
                  <c:v>Junik/Junik</c:v>
                </c:pt>
                <c:pt idx="24">
                  <c:v>Klinë/Klina</c:v>
                </c:pt>
                <c:pt idx="25">
                  <c:v>Suharekë/Suva Reka </c:v>
                </c:pt>
                <c:pt idx="26">
                  <c:v>Ferizaj/Uroševac</c:v>
                </c:pt>
                <c:pt idx="27">
                  <c:v>Dragash/Dragaš </c:v>
                </c:pt>
                <c:pt idx="28">
                  <c:v>Hani i Elezit/Elez Han </c:v>
                </c:pt>
                <c:pt idx="29">
                  <c:v>Deçan/Dečane </c:v>
                </c:pt>
                <c:pt idx="30">
                  <c:v>Vushtrri/Vučitrn </c:v>
                </c:pt>
                <c:pt idx="31">
                  <c:v>Istog/Istok </c:v>
                </c:pt>
                <c:pt idx="32">
                  <c:v>Prizren/Prizren </c:v>
                </c:pt>
                <c:pt idx="33">
                  <c:v>Lipjan/Lipljan</c:v>
                </c:pt>
                <c:pt idx="34">
                  <c:v>Obiliq/Obilić </c:v>
                </c:pt>
                <c:pt idx="35">
                  <c:v>Rahovec/Orahovac</c:v>
                </c:pt>
                <c:pt idx="36">
                  <c:v>Skenderaj/Srbica </c:v>
                </c:pt>
                <c:pt idx="37">
                  <c:v>Gllogovc/Glogovac </c:v>
                </c:pt>
              </c:strCache>
            </c:strRef>
          </c:cat>
          <c:val>
            <c:numRef>
              <c:f>Sheet2!$B$5:$B$42</c:f>
              <c:numCache>
                <c:formatCode>0.00%</c:formatCode>
                <c:ptCount val="38"/>
                <c:pt idx="0">
                  <c:v>0</c:v>
                </c:pt>
                <c:pt idx="1">
                  <c:v>0</c:v>
                </c:pt>
                <c:pt idx="2">
                  <c:v>0</c:v>
                </c:pt>
                <c:pt idx="3">
                  <c:v>0</c:v>
                </c:pt>
                <c:pt idx="4">
                  <c:v>0</c:v>
                </c:pt>
                <c:pt idx="5">
                  <c:v>0.02</c:v>
                </c:pt>
                <c:pt idx="6">
                  <c:v>0.112</c:v>
                </c:pt>
                <c:pt idx="7">
                  <c:v>0.13300000000000001</c:v>
                </c:pt>
                <c:pt idx="8">
                  <c:v>0.16300000000000001</c:v>
                </c:pt>
                <c:pt idx="9">
                  <c:v>0.26500000000000001</c:v>
                </c:pt>
                <c:pt idx="10">
                  <c:v>0.26500000000000001</c:v>
                </c:pt>
                <c:pt idx="11">
                  <c:v>0.26500000000000001</c:v>
                </c:pt>
                <c:pt idx="12">
                  <c:v>0.29599999999999999</c:v>
                </c:pt>
                <c:pt idx="13">
                  <c:v>0.316</c:v>
                </c:pt>
                <c:pt idx="14">
                  <c:v>0.32700000000000001</c:v>
                </c:pt>
                <c:pt idx="15">
                  <c:v>0.39800000000000002</c:v>
                </c:pt>
                <c:pt idx="16">
                  <c:v>0.41799999999999998</c:v>
                </c:pt>
                <c:pt idx="17">
                  <c:v>0.44900000000000001</c:v>
                </c:pt>
                <c:pt idx="18">
                  <c:v>0.45900000000000002</c:v>
                </c:pt>
                <c:pt idx="19">
                  <c:v>0.48</c:v>
                </c:pt>
                <c:pt idx="20">
                  <c:v>0.49</c:v>
                </c:pt>
                <c:pt idx="21">
                  <c:v>0.52</c:v>
                </c:pt>
                <c:pt idx="22">
                  <c:v>0.53100000000000003</c:v>
                </c:pt>
                <c:pt idx="23">
                  <c:v>0.53100000000000003</c:v>
                </c:pt>
                <c:pt idx="24">
                  <c:v>0.59199999999999997</c:v>
                </c:pt>
                <c:pt idx="25">
                  <c:v>0.59199999999999997</c:v>
                </c:pt>
                <c:pt idx="26">
                  <c:v>0.60199999999999998</c:v>
                </c:pt>
                <c:pt idx="27">
                  <c:v>0.61199999999999999</c:v>
                </c:pt>
                <c:pt idx="28">
                  <c:v>0.622</c:v>
                </c:pt>
                <c:pt idx="29">
                  <c:v>0.64300000000000002</c:v>
                </c:pt>
                <c:pt idx="30">
                  <c:v>0.64300000000000002</c:v>
                </c:pt>
                <c:pt idx="31">
                  <c:v>0.69399999999999995</c:v>
                </c:pt>
                <c:pt idx="32">
                  <c:v>0.72399999999999998</c:v>
                </c:pt>
                <c:pt idx="33">
                  <c:v>0.73499999999999999</c:v>
                </c:pt>
                <c:pt idx="34">
                  <c:v>0.73499999999999999</c:v>
                </c:pt>
                <c:pt idx="35">
                  <c:v>0.73499999999999999</c:v>
                </c:pt>
                <c:pt idx="36">
                  <c:v>0.73499999999999999</c:v>
                </c:pt>
                <c:pt idx="37">
                  <c:v>0.76500000000000001</c:v>
                </c:pt>
              </c:numCache>
            </c:numRef>
          </c:val>
          <c:extLst xmlns:c16r2="http://schemas.microsoft.com/office/drawing/2015/06/chart">
            <c:ext xmlns:c16="http://schemas.microsoft.com/office/drawing/2014/chart" uri="{C3380CC4-5D6E-409C-BE32-E72D297353CC}">
              <c16:uniqueId val="{00000000-2925-4373-9746-630964D119A2}"/>
            </c:ext>
          </c:extLst>
        </c:ser>
        <c:dLbls>
          <c:showLegendKey val="0"/>
          <c:showVal val="1"/>
          <c:showCatName val="0"/>
          <c:showSerName val="0"/>
          <c:showPercent val="0"/>
          <c:showBubbleSize val="0"/>
        </c:dLbls>
        <c:gapWidth val="60"/>
        <c:axId val="-516850336"/>
        <c:axId val="-516830208"/>
      </c:barChart>
      <c:catAx>
        <c:axId val="-51685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ysClr val="windowText" lastClr="000000"/>
                </a:solidFill>
                <a:latin typeface="+mn-lt"/>
                <a:ea typeface="+mn-ea"/>
                <a:cs typeface="+mn-cs"/>
              </a:defRPr>
            </a:pPr>
            <a:endParaRPr lang="en-US"/>
          </a:p>
        </c:txPr>
        <c:crossAx val="-516830208"/>
        <c:crosses val="autoZero"/>
        <c:auto val="1"/>
        <c:lblAlgn val="ctr"/>
        <c:lblOffset val="100"/>
        <c:noMultiLvlLbl val="0"/>
      </c:catAx>
      <c:valAx>
        <c:axId val="-516830208"/>
        <c:scaling>
          <c:orientation val="minMax"/>
        </c:scaling>
        <c:delete val="1"/>
        <c:axPos val="b"/>
        <c:numFmt formatCode="0.00%" sourceLinked="1"/>
        <c:majorTickMark val="none"/>
        <c:minorTickMark val="none"/>
        <c:tickLblPos val="nextTo"/>
        <c:crossAx val="-516850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Orahovac</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7434-4755-84FF-FCC7B06888D6}"/>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Orahovac!$B$19:$E$19</c:f>
              <c:strCache>
                <c:ptCount val="4"/>
                <c:pt idx="0">
                  <c:v>Demokratsko upravljanje</c:v>
                </c:pt>
                <c:pt idx="1">
                  <c:v>Opštinsko upravljanje </c:v>
                </c:pt>
                <c:pt idx="2">
                  <c:v>Pružanje usluga</c:v>
                </c:pt>
                <c:pt idx="3">
                  <c:v>Ukupno</c:v>
                </c:pt>
              </c:strCache>
            </c:strRef>
          </c:cat>
          <c:val>
            <c:numRef>
              <c:f>Orahovac!$B$20:$E$20</c:f>
              <c:numCache>
                <c:formatCode>0.00</c:formatCode>
                <c:ptCount val="4"/>
                <c:pt idx="0">
                  <c:v>95</c:v>
                </c:pt>
                <c:pt idx="1">
                  <c:v>60.714285714285708</c:v>
                </c:pt>
                <c:pt idx="2">
                  <c:v>56.666666666666664</c:v>
                </c:pt>
                <c:pt idx="3">
                  <c:v>73.469387755102048</c:v>
                </c:pt>
              </c:numCache>
            </c:numRef>
          </c:val>
          <c:extLst xmlns:c16r2="http://schemas.microsoft.com/office/drawing/2015/06/chart">
            <c:ext xmlns:c16="http://schemas.microsoft.com/office/drawing/2014/chart" uri="{C3380CC4-5D6E-409C-BE32-E72D297353CC}">
              <c16:uniqueId val="{00000002-7434-4755-84FF-FCC7B06888D6}"/>
            </c:ext>
          </c:extLst>
        </c:ser>
        <c:dLbls>
          <c:showLegendKey val="0"/>
          <c:showVal val="0"/>
          <c:showCatName val="0"/>
          <c:showSerName val="0"/>
          <c:showPercent val="0"/>
          <c:showBubbleSize val="0"/>
        </c:dLbls>
        <c:gapWidth val="150"/>
        <c:overlap val="100"/>
        <c:axId val="-511306464"/>
        <c:axId val="-511283072"/>
      </c:barChart>
      <c:catAx>
        <c:axId val="-5113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83072"/>
        <c:crosses val="autoZero"/>
        <c:auto val="1"/>
        <c:lblAlgn val="ctr"/>
        <c:lblOffset val="100"/>
        <c:noMultiLvlLbl val="0"/>
      </c:catAx>
      <c:valAx>
        <c:axId val="-51128307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30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Ranilug</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7846-4C76-814F-6AF77407EE67}"/>
              </c:ext>
            </c:extLst>
          </c:dPt>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7846-4C76-814F-6AF77407EE67}"/>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5-7846-4C76-814F-6AF77407EE67}"/>
              </c:ext>
            </c:extLst>
          </c:dPt>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7-7846-4C76-814F-6AF77407EE67}"/>
              </c:ext>
            </c:extLst>
          </c:dPt>
          <c:cat>
            <c:strRef>
              <c:f>Ranilug!$B$2:$E$2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Ranilug!$B$3:$E$3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8-7846-4C76-814F-6AF77407EE67}"/>
            </c:ext>
          </c:extLst>
        </c:ser>
        <c:dLbls>
          <c:showLegendKey val="0"/>
          <c:showVal val="0"/>
          <c:showCatName val="0"/>
          <c:showSerName val="0"/>
          <c:showPercent val="0"/>
          <c:showBubbleSize val="0"/>
        </c:dLbls>
        <c:gapWidth val="182"/>
        <c:axId val="-511312992"/>
        <c:axId val="-511287968"/>
      </c:barChart>
      <c:catAx>
        <c:axId val="-51131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87968"/>
        <c:crosses val="autoZero"/>
        <c:auto val="1"/>
        <c:lblAlgn val="ctr"/>
        <c:lblOffset val="100"/>
        <c:noMultiLvlLbl val="0"/>
      </c:catAx>
      <c:valAx>
        <c:axId val="-511287968"/>
        <c:scaling>
          <c:orientation val="minMax"/>
        </c:scaling>
        <c:delete val="1"/>
        <c:axPos val="b"/>
        <c:numFmt formatCode="General" sourceLinked="1"/>
        <c:majorTickMark val="none"/>
        <c:minorTickMark val="none"/>
        <c:tickLblPos val="nextTo"/>
        <c:crossAx val="-51131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Ranilug</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2D4-41A9-9A52-5B4937B3CC9C}"/>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Ranilug!$B$19:$E$19</c:f>
              <c:strCache>
                <c:ptCount val="4"/>
                <c:pt idx="0">
                  <c:v>Demokratsko upravljanje</c:v>
                </c:pt>
                <c:pt idx="1">
                  <c:v>Opštinsko upravljanje </c:v>
                </c:pt>
                <c:pt idx="2">
                  <c:v>Pružanje usluga</c:v>
                </c:pt>
                <c:pt idx="3">
                  <c:v>Ukupno</c:v>
                </c:pt>
              </c:strCache>
            </c:strRef>
          </c:cat>
          <c:val>
            <c:numRef>
              <c:f>Ranilug!$B$20:$E$20</c:f>
              <c:numCache>
                <c:formatCode>0.00</c:formatCode>
                <c:ptCount val="4"/>
                <c:pt idx="0">
                  <c:v>22.5</c:v>
                </c:pt>
                <c:pt idx="1">
                  <c:v>17.857142857142858</c:v>
                </c:pt>
                <c:pt idx="2">
                  <c:v>6.666666666666667</c:v>
                </c:pt>
                <c:pt idx="3">
                  <c:v>16.326530612244898</c:v>
                </c:pt>
              </c:numCache>
            </c:numRef>
          </c:val>
          <c:extLst xmlns:c16r2="http://schemas.microsoft.com/office/drawing/2015/06/chart">
            <c:ext xmlns:c16="http://schemas.microsoft.com/office/drawing/2014/chart" uri="{C3380CC4-5D6E-409C-BE32-E72D297353CC}">
              <c16:uniqueId val="{00000002-F2D4-41A9-9A52-5B4937B3CC9C}"/>
            </c:ext>
          </c:extLst>
        </c:ser>
        <c:dLbls>
          <c:showLegendKey val="0"/>
          <c:showVal val="0"/>
          <c:showCatName val="0"/>
          <c:showSerName val="0"/>
          <c:showPercent val="0"/>
          <c:showBubbleSize val="0"/>
        </c:dLbls>
        <c:gapWidth val="150"/>
        <c:overlap val="100"/>
        <c:axId val="-511297760"/>
        <c:axId val="-511294496"/>
      </c:barChart>
      <c:catAx>
        <c:axId val="-5112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94496"/>
        <c:crosses val="autoZero"/>
        <c:auto val="1"/>
        <c:lblAlgn val="ctr"/>
        <c:lblOffset val="100"/>
        <c:noMultiLvlLbl val="0"/>
      </c:catAx>
      <c:valAx>
        <c:axId val="-5112944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9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Štrpce</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cat>
            <c:strRef>
              <c:f>Štrpce!$B$2:$E$2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Štrpce!$B$3:$E$3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13F8-465F-A837-0BC231091628}"/>
            </c:ext>
          </c:extLst>
        </c:ser>
        <c:dLbls>
          <c:showLegendKey val="0"/>
          <c:showVal val="0"/>
          <c:showCatName val="0"/>
          <c:showSerName val="0"/>
          <c:showPercent val="0"/>
          <c:showBubbleSize val="0"/>
        </c:dLbls>
        <c:gapWidth val="182"/>
        <c:axId val="-511310816"/>
        <c:axId val="-511303200"/>
      </c:barChart>
      <c:catAx>
        <c:axId val="-511310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303200"/>
        <c:crosses val="autoZero"/>
        <c:auto val="1"/>
        <c:lblAlgn val="ctr"/>
        <c:lblOffset val="100"/>
        <c:noMultiLvlLbl val="0"/>
      </c:catAx>
      <c:valAx>
        <c:axId val="-511303200"/>
        <c:scaling>
          <c:orientation val="minMax"/>
        </c:scaling>
        <c:delete val="1"/>
        <c:axPos val="b"/>
        <c:numFmt formatCode="General" sourceLinked="1"/>
        <c:majorTickMark val="none"/>
        <c:minorTickMark val="none"/>
        <c:tickLblPos val="nextTo"/>
        <c:crossAx val="-51131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Štimlje</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5A8B-4728-BD33-AC423C52E570}"/>
              </c:ext>
            </c:extLst>
          </c:dPt>
          <c:cat>
            <c:strRef>
              <c:f>Štimlje!$B$2:$E$2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Štimlje!$B$3:$E$3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5A8B-4728-BD33-AC423C52E570}"/>
            </c:ext>
          </c:extLst>
        </c:ser>
        <c:dLbls>
          <c:showLegendKey val="0"/>
          <c:showVal val="0"/>
          <c:showCatName val="0"/>
          <c:showSerName val="0"/>
          <c:showPercent val="0"/>
          <c:showBubbleSize val="0"/>
        </c:dLbls>
        <c:gapWidth val="182"/>
        <c:axId val="-511296672"/>
        <c:axId val="-511279264"/>
      </c:barChart>
      <c:catAx>
        <c:axId val="-511296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79264"/>
        <c:crosses val="autoZero"/>
        <c:auto val="1"/>
        <c:lblAlgn val="ctr"/>
        <c:lblOffset val="100"/>
        <c:noMultiLvlLbl val="0"/>
      </c:catAx>
      <c:valAx>
        <c:axId val="-511279264"/>
        <c:scaling>
          <c:orientation val="minMax"/>
        </c:scaling>
        <c:delete val="1"/>
        <c:axPos val="b"/>
        <c:numFmt formatCode="General" sourceLinked="1"/>
        <c:majorTickMark val="none"/>
        <c:minorTickMark val="none"/>
        <c:tickLblPos val="nextTo"/>
        <c:crossAx val="-51129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Štimlje</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B5F5-408C-8116-7BFD19A61D08}"/>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Štimlje!$B$19:$E$19</c:f>
              <c:strCache>
                <c:ptCount val="4"/>
                <c:pt idx="0">
                  <c:v>Demokratsko upravljanje</c:v>
                </c:pt>
                <c:pt idx="1">
                  <c:v>Opštinsko upravljanje </c:v>
                </c:pt>
                <c:pt idx="2">
                  <c:v>Pružanje usluga</c:v>
                </c:pt>
                <c:pt idx="3">
                  <c:v>Ukupno</c:v>
                </c:pt>
              </c:strCache>
            </c:strRef>
          </c:cat>
          <c:val>
            <c:numRef>
              <c:f>Štimlje!$B$20:$E$20</c:f>
              <c:numCache>
                <c:formatCode>0.00</c:formatCode>
                <c:ptCount val="4"/>
                <c:pt idx="0">
                  <c:v>62.5</c:v>
                </c:pt>
                <c:pt idx="1">
                  <c:v>50</c:v>
                </c:pt>
                <c:pt idx="2">
                  <c:v>30</c:v>
                </c:pt>
                <c:pt idx="3">
                  <c:v>48.979591836734691</c:v>
                </c:pt>
              </c:numCache>
            </c:numRef>
          </c:val>
          <c:extLst xmlns:c16r2="http://schemas.microsoft.com/office/drawing/2015/06/chart">
            <c:ext xmlns:c16="http://schemas.microsoft.com/office/drawing/2014/chart" uri="{C3380CC4-5D6E-409C-BE32-E72D297353CC}">
              <c16:uniqueId val="{00000002-B5F5-408C-8116-7BFD19A61D08}"/>
            </c:ext>
          </c:extLst>
        </c:ser>
        <c:dLbls>
          <c:showLegendKey val="0"/>
          <c:showVal val="0"/>
          <c:showCatName val="0"/>
          <c:showSerName val="0"/>
          <c:showPercent val="0"/>
          <c:showBubbleSize val="0"/>
        </c:dLbls>
        <c:gapWidth val="150"/>
        <c:overlap val="100"/>
        <c:axId val="-511290688"/>
        <c:axId val="-511281984"/>
      </c:barChart>
      <c:catAx>
        <c:axId val="-51129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81984"/>
        <c:crosses val="autoZero"/>
        <c:auto val="1"/>
        <c:lblAlgn val="ctr"/>
        <c:lblOffset val="100"/>
        <c:noMultiLvlLbl val="0"/>
      </c:catAx>
      <c:valAx>
        <c:axId val="-51128198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9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Srbica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892-44BD-A83B-B6881D0A8887}"/>
              </c:ext>
            </c:extLst>
          </c:dPt>
          <c:cat>
            <c:strRef>
              <c:f>Srbica!$B$2:$E$2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Srbica!$B$3:$E$3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3892-44BD-A83B-B6881D0A8887}"/>
            </c:ext>
          </c:extLst>
        </c:ser>
        <c:dLbls>
          <c:showLegendKey val="0"/>
          <c:showVal val="0"/>
          <c:showCatName val="0"/>
          <c:showSerName val="0"/>
          <c:showPercent val="0"/>
          <c:showBubbleSize val="0"/>
        </c:dLbls>
        <c:gapWidth val="182"/>
        <c:axId val="-511311904"/>
        <c:axId val="-511289056"/>
      </c:barChart>
      <c:catAx>
        <c:axId val="-511311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89056"/>
        <c:crosses val="autoZero"/>
        <c:auto val="1"/>
        <c:lblAlgn val="ctr"/>
        <c:lblOffset val="100"/>
        <c:noMultiLvlLbl val="0"/>
      </c:catAx>
      <c:valAx>
        <c:axId val="-511289056"/>
        <c:scaling>
          <c:orientation val="minMax"/>
        </c:scaling>
        <c:delete val="1"/>
        <c:axPos val="b"/>
        <c:numFmt formatCode="General" sourceLinked="1"/>
        <c:majorTickMark val="none"/>
        <c:minorTickMark val="none"/>
        <c:tickLblPos val="nextTo"/>
        <c:crossAx val="-51131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Srbica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280-4202-9BF3-2BCF8D20414D}"/>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Srbica!$B$19:$E$19</c:f>
              <c:strCache>
                <c:ptCount val="4"/>
                <c:pt idx="0">
                  <c:v>Demokratsko upravljanje</c:v>
                </c:pt>
                <c:pt idx="1">
                  <c:v>Opštinsko upravljanje </c:v>
                </c:pt>
                <c:pt idx="2">
                  <c:v>Pružanje usluga</c:v>
                </c:pt>
                <c:pt idx="3">
                  <c:v>Ukupno</c:v>
                </c:pt>
              </c:strCache>
            </c:strRef>
          </c:cat>
          <c:val>
            <c:numRef>
              <c:f>Srbica!$B$20:$E$20</c:f>
              <c:numCache>
                <c:formatCode>0.00</c:formatCode>
                <c:ptCount val="4"/>
                <c:pt idx="0">
                  <c:v>92.5</c:v>
                </c:pt>
                <c:pt idx="1">
                  <c:v>53.571428571428569</c:v>
                </c:pt>
                <c:pt idx="2">
                  <c:v>66.666666666666657</c:v>
                </c:pt>
                <c:pt idx="3">
                  <c:v>73.469387755102048</c:v>
                </c:pt>
              </c:numCache>
            </c:numRef>
          </c:val>
          <c:extLst xmlns:c16r2="http://schemas.microsoft.com/office/drawing/2015/06/chart">
            <c:ext xmlns:c16="http://schemas.microsoft.com/office/drawing/2014/chart" uri="{C3380CC4-5D6E-409C-BE32-E72D297353CC}">
              <c16:uniqueId val="{00000002-0280-4202-9BF3-2BCF8D20414D}"/>
            </c:ext>
          </c:extLst>
        </c:ser>
        <c:dLbls>
          <c:showLegendKey val="0"/>
          <c:showVal val="0"/>
          <c:showCatName val="0"/>
          <c:showSerName val="0"/>
          <c:showPercent val="0"/>
          <c:showBubbleSize val="0"/>
        </c:dLbls>
        <c:gapWidth val="150"/>
        <c:overlap val="100"/>
        <c:axId val="-511310272"/>
        <c:axId val="-511309728"/>
      </c:barChart>
      <c:catAx>
        <c:axId val="-51131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309728"/>
        <c:crosses val="autoZero"/>
        <c:auto val="1"/>
        <c:lblAlgn val="ctr"/>
        <c:lblOffset val="100"/>
        <c:noMultiLvlLbl val="0"/>
      </c:catAx>
      <c:valAx>
        <c:axId val="-5113097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31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Suva Reka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147B-4ED1-BE82-04B96FE12EFF}"/>
              </c:ext>
            </c:extLst>
          </c:dPt>
          <c:cat>
            <c:strRef>
              <c:f>'Suva Reka'!$B$2:$E$2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'Suva Reka'!$B$3:$E$3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147B-4ED1-BE82-04B96FE12EFF}"/>
            </c:ext>
          </c:extLst>
        </c:ser>
        <c:dLbls>
          <c:showLegendKey val="0"/>
          <c:showVal val="0"/>
          <c:showCatName val="0"/>
          <c:showSerName val="0"/>
          <c:showPercent val="0"/>
          <c:showBubbleSize val="0"/>
        </c:dLbls>
        <c:gapWidth val="182"/>
        <c:axId val="-511305920"/>
        <c:axId val="-511254240"/>
      </c:barChart>
      <c:catAx>
        <c:axId val="-51130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54240"/>
        <c:crosses val="autoZero"/>
        <c:auto val="1"/>
        <c:lblAlgn val="ctr"/>
        <c:lblOffset val="100"/>
        <c:noMultiLvlLbl val="0"/>
      </c:catAx>
      <c:valAx>
        <c:axId val="-511254240"/>
        <c:scaling>
          <c:orientation val="minMax"/>
        </c:scaling>
        <c:delete val="1"/>
        <c:axPos val="b"/>
        <c:numFmt formatCode="General" sourceLinked="1"/>
        <c:majorTickMark val="none"/>
        <c:minorTickMark val="none"/>
        <c:tickLblPos val="nextTo"/>
        <c:crossAx val="-51130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Suva Reka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402-407C-876A-9C0F89D7FFF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'Suva Reka'!$B$19:$E$19</c:f>
              <c:strCache>
                <c:ptCount val="4"/>
                <c:pt idx="0">
                  <c:v>Demokratsko upravljanje</c:v>
                </c:pt>
                <c:pt idx="1">
                  <c:v>Opštinsko upravljanje </c:v>
                </c:pt>
                <c:pt idx="2">
                  <c:v>Pružanje usluga</c:v>
                </c:pt>
                <c:pt idx="3">
                  <c:v>Ukupno</c:v>
                </c:pt>
              </c:strCache>
            </c:strRef>
          </c:cat>
          <c:val>
            <c:numRef>
              <c:f>'Suva Reka'!$B$20:$E$20</c:f>
              <c:numCache>
                <c:formatCode>0.00</c:formatCode>
                <c:ptCount val="4"/>
                <c:pt idx="0">
                  <c:v>82.5</c:v>
                </c:pt>
                <c:pt idx="1">
                  <c:v>46.428571428571431</c:v>
                </c:pt>
                <c:pt idx="2">
                  <c:v>40</c:v>
                </c:pt>
                <c:pt idx="3">
                  <c:v>59.183673469387756</c:v>
                </c:pt>
              </c:numCache>
            </c:numRef>
          </c:val>
          <c:extLst xmlns:c16r2="http://schemas.microsoft.com/office/drawing/2015/06/chart">
            <c:ext xmlns:c16="http://schemas.microsoft.com/office/drawing/2014/chart" uri="{C3380CC4-5D6E-409C-BE32-E72D297353CC}">
              <c16:uniqueId val="{00000002-F402-407C-876A-9C0F89D7FFFE}"/>
            </c:ext>
          </c:extLst>
        </c:ser>
        <c:dLbls>
          <c:showLegendKey val="0"/>
          <c:showVal val="0"/>
          <c:showCatName val="0"/>
          <c:showSerName val="0"/>
          <c:showPercent val="0"/>
          <c:showBubbleSize val="0"/>
        </c:dLbls>
        <c:gapWidth val="150"/>
        <c:overlap val="100"/>
        <c:axId val="-511258592"/>
        <c:axId val="-511269472"/>
      </c:barChart>
      <c:catAx>
        <c:axId val="-51125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69472"/>
        <c:crosses val="autoZero"/>
        <c:auto val="1"/>
        <c:lblAlgn val="ctr"/>
        <c:lblOffset val="100"/>
        <c:noMultiLvlLbl val="0"/>
      </c:catAx>
      <c:valAx>
        <c:axId val="-51126947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5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en-US" sz="1050" b="0" i="0" u="none" strike="noStrike" baseline="0">
                <a:solidFill>
                  <a:sysClr val="windowText" lastClr="000000"/>
                </a:solidFill>
              </a:rPr>
              <a:t>Opšti učinak opština za 29 pokazatelja GOU-a.</a:t>
            </a:r>
            <a:endParaRPr lang="en-GB" sz="1050">
              <a:solidFill>
                <a:sysClr val="windowText" lastClr="000000"/>
              </a:solidFill>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Sheet2!$A$57:$A$61</c:f>
              <c:strCache>
                <c:ptCount val="5"/>
                <c:pt idx="0">
                  <c:v>Rahovec/Orahovac</c:v>
                </c:pt>
                <c:pt idx="1">
                  <c:v>Dragash/Dragaš </c:v>
                </c:pt>
                <c:pt idx="2">
                  <c:v>Klinë/Klina</c:v>
                </c:pt>
                <c:pt idx="3">
                  <c:v>Mamushë/Mamuša</c:v>
                </c:pt>
                <c:pt idx="4">
                  <c:v>Parteš/Partesh </c:v>
                </c:pt>
              </c:strCache>
            </c:strRef>
          </c:cat>
          <c:val>
            <c:numRef>
              <c:f>Sheet2!$B$57:$B$61</c:f>
              <c:numCache>
                <c:formatCode>0.00%</c:formatCode>
                <c:ptCount val="5"/>
                <c:pt idx="0">
                  <c:v>0.73499999999999999</c:v>
                </c:pt>
                <c:pt idx="1">
                  <c:v>0.61199999999999999</c:v>
                </c:pt>
                <c:pt idx="2">
                  <c:v>0.59199999999999997</c:v>
                </c:pt>
                <c:pt idx="3">
                  <c:v>0.26500000000000001</c:v>
                </c:pt>
                <c:pt idx="4">
                  <c:v>0.112</c:v>
                </c:pt>
              </c:numCache>
            </c:numRef>
          </c:val>
          <c:extLst xmlns:c16r2="http://schemas.microsoft.com/office/drawing/2015/06/chart">
            <c:ext xmlns:c16="http://schemas.microsoft.com/office/drawing/2014/chart" uri="{C3380CC4-5D6E-409C-BE32-E72D297353CC}">
              <c16:uniqueId val="{00000000-F3D5-4FA2-B235-8BBA2EB25275}"/>
            </c:ext>
          </c:extLst>
        </c:ser>
        <c:dLbls>
          <c:dLblPos val="outEnd"/>
          <c:showLegendKey val="0"/>
          <c:showVal val="1"/>
          <c:showCatName val="0"/>
          <c:showSerName val="0"/>
          <c:showPercent val="0"/>
          <c:showBubbleSize val="0"/>
        </c:dLbls>
        <c:gapWidth val="182"/>
        <c:axId val="-516843264"/>
        <c:axId val="-516851424"/>
      </c:barChart>
      <c:catAx>
        <c:axId val="-516843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851424"/>
        <c:crosses val="autoZero"/>
        <c:auto val="1"/>
        <c:lblAlgn val="ctr"/>
        <c:lblOffset val="100"/>
        <c:noMultiLvlLbl val="0"/>
      </c:catAx>
      <c:valAx>
        <c:axId val="-516851424"/>
        <c:scaling>
          <c:orientation val="minMax"/>
        </c:scaling>
        <c:delete val="1"/>
        <c:axPos val="b"/>
        <c:numFmt formatCode="0.00%" sourceLinked="1"/>
        <c:majorTickMark val="none"/>
        <c:minorTickMark val="none"/>
        <c:tickLblPos val="nextTo"/>
        <c:crossAx val="-516843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Vitina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888-46D3-B836-A76B318F2034}"/>
              </c:ext>
            </c:extLst>
          </c:dPt>
          <c:cat>
            <c:strRef>
              <c:f>Vitina!$B$2:$E$2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Vitina!$B$3:$E$3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3888-46D3-B836-A76B318F2034}"/>
            </c:ext>
          </c:extLst>
        </c:ser>
        <c:dLbls>
          <c:showLegendKey val="0"/>
          <c:showVal val="0"/>
          <c:showCatName val="0"/>
          <c:showSerName val="0"/>
          <c:showPercent val="0"/>
          <c:showBubbleSize val="0"/>
        </c:dLbls>
        <c:gapWidth val="182"/>
        <c:axId val="-511271104"/>
        <c:axId val="-511273280"/>
      </c:barChart>
      <c:catAx>
        <c:axId val="-511271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73280"/>
        <c:crosses val="autoZero"/>
        <c:auto val="1"/>
        <c:lblAlgn val="ctr"/>
        <c:lblOffset val="100"/>
        <c:noMultiLvlLbl val="0"/>
      </c:catAx>
      <c:valAx>
        <c:axId val="-511273280"/>
        <c:scaling>
          <c:orientation val="minMax"/>
        </c:scaling>
        <c:delete val="1"/>
        <c:axPos val="b"/>
        <c:numFmt formatCode="General" sourceLinked="1"/>
        <c:majorTickMark val="none"/>
        <c:minorTickMark val="none"/>
        <c:tickLblPos val="nextTo"/>
        <c:crossAx val="-51127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Vitina</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C35D-4B33-A283-AF7666073B06}"/>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Vitina!$B$19:$E$19</c:f>
              <c:strCache>
                <c:ptCount val="4"/>
                <c:pt idx="0">
                  <c:v>Demokratsko upravljanje</c:v>
                </c:pt>
                <c:pt idx="1">
                  <c:v>Opštinsko upravljanje </c:v>
                </c:pt>
                <c:pt idx="2">
                  <c:v>Pružanje usluga</c:v>
                </c:pt>
                <c:pt idx="3">
                  <c:v>Ukupno</c:v>
                </c:pt>
              </c:strCache>
            </c:strRef>
          </c:cat>
          <c:val>
            <c:numRef>
              <c:f>Vitina!$B$20:$E$20</c:f>
              <c:numCache>
                <c:formatCode>0.00</c:formatCode>
                <c:ptCount val="4"/>
                <c:pt idx="0">
                  <c:v>47.5</c:v>
                </c:pt>
                <c:pt idx="1">
                  <c:v>21.428571428571427</c:v>
                </c:pt>
                <c:pt idx="2">
                  <c:v>20</c:v>
                </c:pt>
                <c:pt idx="3">
                  <c:v>31.632653061224492</c:v>
                </c:pt>
              </c:numCache>
            </c:numRef>
          </c:val>
          <c:extLst xmlns:c16r2="http://schemas.microsoft.com/office/drawing/2015/06/chart">
            <c:ext xmlns:c16="http://schemas.microsoft.com/office/drawing/2014/chart" uri="{C3380CC4-5D6E-409C-BE32-E72D297353CC}">
              <c16:uniqueId val="{00000002-C35D-4B33-A283-AF7666073B06}"/>
            </c:ext>
          </c:extLst>
        </c:ser>
        <c:dLbls>
          <c:showLegendKey val="0"/>
          <c:showVal val="0"/>
          <c:showCatName val="0"/>
          <c:showSerName val="0"/>
          <c:showPercent val="0"/>
          <c:showBubbleSize val="0"/>
        </c:dLbls>
        <c:gapWidth val="150"/>
        <c:overlap val="100"/>
        <c:axId val="-511255872"/>
        <c:axId val="-511268384"/>
      </c:barChart>
      <c:catAx>
        <c:axId val="-5112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68384"/>
        <c:crosses val="autoZero"/>
        <c:auto val="1"/>
        <c:lblAlgn val="ctr"/>
        <c:lblOffset val="100"/>
        <c:noMultiLvlLbl val="0"/>
      </c:catAx>
      <c:valAx>
        <c:axId val="-51126838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5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Vučitrn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tx2">
                <a:lumMod val="60000"/>
                <a:lumOff val="40000"/>
              </a:schemeClr>
            </a:solidFill>
            <a:ln>
              <a:noFill/>
            </a:ln>
            <a:effectLst/>
          </c:spPr>
          <c:invertIfNegative val="0"/>
          <c:dPt>
            <c:idx val="0"/>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1-0A70-4848-A0B6-7C0DEEAFC0E2}"/>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0A70-4848-A0B6-7C0DEEAFC0E2}"/>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5-0A70-4848-A0B6-7C0DEEAFC0E2}"/>
              </c:ext>
            </c:extLst>
          </c:dPt>
          <c:dPt>
            <c:idx val="3"/>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7-0A70-4848-A0B6-7C0DEEAFC0E2}"/>
              </c:ext>
            </c:extLst>
          </c:dPt>
          <c:cat>
            <c:strRef>
              <c:f>Vučitrn!$B$2:$E$2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Vučitrn!$B$3:$E$3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8-0A70-4848-A0B6-7C0DEEAFC0E2}"/>
            </c:ext>
          </c:extLst>
        </c:ser>
        <c:dLbls>
          <c:showLegendKey val="0"/>
          <c:showVal val="0"/>
          <c:showCatName val="0"/>
          <c:showSerName val="0"/>
          <c:showPercent val="0"/>
          <c:showBubbleSize val="0"/>
        </c:dLbls>
        <c:gapWidth val="182"/>
        <c:axId val="-511272736"/>
        <c:axId val="-511274912"/>
      </c:barChart>
      <c:catAx>
        <c:axId val="-51127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74912"/>
        <c:crosses val="autoZero"/>
        <c:auto val="1"/>
        <c:lblAlgn val="ctr"/>
        <c:lblOffset val="100"/>
        <c:noMultiLvlLbl val="0"/>
      </c:catAx>
      <c:valAx>
        <c:axId val="-511274912"/>
        <c:scaling>
          <c:orientation val="minMax"/>
        </c:scaling>
        <c:delete val="1"/>
        <c:axPos val="b"/>
        <c:numFmt formatCode="General" sourceLinked="1"/>
        <c:majorTickMark val="none"/>
        <c:minorTickMark val="none"/>
        <c:tickLblPos val="nextTo"/>
        <c:crossAx val="-51127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Vučitrn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A8B9-4841-930C-A6798F603977}"/>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Vučitrn!$B$19:$E$19</c:f>
              <c:strCache>
                <c:ptCount val="4"/>
                <c:pt idx="0">
                  <c:v>Demokratsko upravljanje</c:v>
                </c:pt>
                <c:pt idx="1">
                  <c:v>Opštinsko upravljanje </c:v>
                </c:pt>
                <c:pt idx="2">
                  <c:v>Pružanje usluga</c:v>
                </c:pt>
                <c:pt idx="3">
                  <c:v>Ukupno</c:v>
                </c:pt>
              </c:strCache>
            </c:strRef>
          </c:cat>
          <c:val>
            <c:numRef>
              <c:f>Vučitrn!$B$20:$E$20</c:f>
              <c:numCache>
                <c:formatCode>0.00</c:formatCode>
                <c:ptCount val="4"/>
                <c:pt idx="0">
                  <c:v>85</c:v>
                </c:pt>
                <c:pt idx="1">
                  <c:v>35.714285714285715</c:v>
                </c:pt>
                <c:pt idx="2">
                  <c:v>63.333333333333329</c:v>
                </c:pt>
                <c:pt idx="3">
                  <c:v>64.285714285714292</c:v>
                </c:pt>
              </c:numCache>
            </c:numRef>
          </c:val>
          <c:extLst xmlns:c16r2="http://schemas.microsoft.com/office/drawing/2015/06/chart">
            <c:ext xmlns:c16="http://schemas.microsoft.com/office/drawing/2014/chart" uri="{C3380CC4-5D6E-409C-BE32-E72D297353CC}">
              <c16:uniqueId val="{00000002-A8B9-4841-930C-A6798F603977}"/>
            </c:ext>
          </c:extLst>
        </c:ser>
        <c:dLbls>
          <c:showLegendKey val="0"/>
          <c:showVal val="0"/>
          <c:showCatName val="0"/>
          <c:showSerName val="0"/>
          <c:showPercent val="0"/>
          <c:showBubbleSize val="0"/>
        </c:dLbls>
        <c:gapWidth val="150"/>
        <c:overlap val="100"/>
        <c:axId val="-511255328"/>
        <c:axId val="-511258048"/>
      </c:barChart>
      <c:catAx>
        <c:axId val="-51125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58048"/>
        <c:crosses val="autoZero"/>
        <c:auto val="1"/>
        <c:lblAlgn val="ctr"/>
        <c:lblOffset val="100"/>
        <c:noMultiLvlLbl val="0"/>
      </c:catAx>
      <c:valAx>
        <c:axId val="-5112580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125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Zubin Potok</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A630-43CE-A4DD-945E00B5E5CA}"/>
              </c:ext>
            </c:extLst>
          </c:dPt>
          <c:cat>
            <c:strRef>
              <c:f>'Zubin Potok'!$B$2:$E$2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'Zubin Potok'!$B$3:$E$3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2-A630-43CE-A4DD-945E00B5E5CA}"/>
            </c:ext>
          </c:extLst>
        </c:ser>
        <c:dLbls>
          <c:showLegendKey val="0"/>
          <c:showVal val="0"/>
          <c:showCatName val="0"/>
          <c:showSerName val="0"/>
          <c:showPercent val="0"/>
          <c:showBubbleSize val="0"/>
        </c:dLbls>
        <c:gapWidth val="182"/>
        <c:axId val="-511266752"/>
        <c:axId val="-511270560"/>
      </c:barChart>
      <c:catAx>
        <c:axId val="-511266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270560"/>
        <c:crosses val="autoZero"/>
        <c:auto val="1"/>
        <c:lblAlgn val="ctr"/>
        <c:lblOffset val="100"/>
        <c:noMultiLvlLbl val="0"/>
      </c:catAx>
      <c:valAx>
        <c:axId val="-511270560"/>
        <c:scaling>
          <c:orientation val="minMax"/>
        </c:scaling>
        <c:delete val="1"/>
        <c:axPos val="b"/>
        <c:numFmt formatCode="General" sourceLinked="1"/>
        <c:majorTickMark val="none"/>
        <c:minorTickMark val="none"/>
        <c:tickLblPos val="nextTo"/>
        <c:crossAx val="-51126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r>
              <a:rPr lang="en-US" sz="1300"/>
              <a:t>Zvečan</a:t>
            </a:r>
          </a:p>
        </c:rich>
      </c:tx>
      <c:overlay val="0"/>
      <c:spPr>
        <a:noFill/>
        <a:ln>
          <a:noFill/>
        </a:ln>
        <a:effectLst/>
      </c:spPr>
      <c:txPr>
        <a:bodyPr rot="0" spcFirstLastPara="1" vertOverflow="ellipsis" vert="horz" wrap="square" anchor="ctr" anchorCtr="1"/>
        <a:lstStyle/>
        <a:p>
          <a:pPr>
            <a:defRPr sz="13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rgbClr val="FF0000"/>
            </a:solidFill>
            <a:ln>
              <a:noFill/>
            </a:ln>
            <a:effectLst/>
          </c:spPr>
          <c:invertIfNegative val="0"/>
          <c:dPt>
            <c:idx val="1"/>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36C9-444A-A629-7BBC8B9154A6}"/>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36C9-444A-A629-7BBC8B9154A6}"/>
              </c:ext>
            </c:extLst>
          </c:dPt>
          <c:cat>
            <c:strRef>
              <c:f>Zvečan!$B$2:$E$2</c:f>
              <c:strCache>
                <c:ptCount val="4"/>
                <c:pt idx="0">
                  <c:v>Opštine su morale prijaviti podatke SUOU u roku definisanim u članu 19.2 Zakona o SUOU/GOU</c:v>
                </c:pt>
                <c:pt idx="1">
                  <c:v>Opštine moraju poštovati zakonsku obavezu da preispitaju opštinske akte koje je nadzorni organ procenio kao nezakonite</c:v>
                </c:pt>
                <c:pt idx="2">
                  <c:v>Revizijsko mišljenje mora biti najmanje nemodifikovano sa isticanjem pitanja</c:v>
                </c:pt>
                <c:pt idx="3">
                  <c:v>Opštine moraju potrošiti 75% ili više završnog budžeta na kapitalne investicije</c:v>
                </c:pt>
              </c:strCache>
            </c:strRef>
          </c:cat>
          <c:val>
            <c:numRef>
              <c:f>Zvečan!$B$3:$E$3</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4-36C9-444A-A629-7BBC8B9154A6}"/>
            </c:ext>
          </c:extLst>
        </c:ser>
        <c:dLbls>
          <c:showLegendKey val="0"/>
          <c:showVal val="0"/>
          <c:showCatName val="0"/>
          <c:showSerName val="0"/>
          <c:showPercent val="0"/>
          <c:showBubbleSize val="0"/>
        </c:dLbls>
        <c:gapWidth val="182"/>
        <c:axId val="-511268928"/>
        <c:axId val="-511256960"/>
      </c:barChart>
      <c:catAx>
        <c:axId val="-51126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11256960"/>
        <c:crosses val="autoZero"/>
        <c:auto val="1"/>
        <c:lblAlgn val="ctr"/>
        <c:lblOffset val="100"/>
        <c:noMultiLvlLbl val="0"/>
      </c:catAx>
      <c:valAx>
        <c:axId val="-511256960"/>
        <c:scaling>
          <c:orientation val="minMax"/>
        </c:scaling>
        <c:delete val="1"/>
        <c:axPos val="b"/>
        <c:numFmt formatCode="General" sourceLinked="1"/>
        <c:majorTickMark val="none"/>
        <c:minorTickMark val="none"/>
        <c:tickLblPos val="nextTo"/>
        <c:crossAx val="-51126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en-US" sz="1050" b="1" i="0" baseline="0">
                <a:solidFill>
                  <a:sysClr val="windowText" lastClr="000000"/>
                </a:solidFill>
                <a:effectLst/>
              </a:rPr>
              <a:t>Pros</a:t>
            </a:r>
            <a:r>
              <a:rPr lang="sr-Latn-RS" sz="1050" b="1" i="0" baseline="0">
                <a:solidFill>
                  <a:sysClr val="windowText" lastClr="000000"/>
                </a:solidFill>
                <a:effectLst/>
              </a:rPr>
              <a:t>ečan</a:t>
            </a:r>
            <a:r>
              <a:rPr lang="en-US" sz="1050" b="1" i="0" baseline="0">
                <a:solidFill>
                  <a:sysClr val="windowText" lastClr="000000"/>
                </a:solidFill>
                <a:effectLst/>
              </a:rPr>
              <a:t> </a:t>
            </a:r>
            <a:r>
              <a:rPr lang="sr-Latn-RS" sz="1050" b="1" i="0" baseline="0">
                <a:solidFill>
                  <a:sysClr val="windowText" lastClr="000000"/>
                </a:solidFill>
                <a:effectLst/>
              </a:rPr>
              <a:t>učinak</a:t>
            </a:r>
            <a:r>
              <a:rPr lang="en-US" sz="1050" b="1" i="0" baseline="0">
                <a:solidFill>
                  <a:sysClr val="windowText" lastClr="000000"/>
                </a:solidFill>
                <a:effectLst/>
              </a:rPr>
              <a:t> GOU izražene u %, po </a:t>
            </a:r>
            <a:r>
              <a:rPr lang="sr-Latn-RS" sz="1050" b="1" i="0" baseline="0">
                <a:solidFill>
                  <a:sysClr val="windowText" lastClr="000000"/>
                </a:solidFill>
                <a:effectLst/>
              </a:rPr>
              <a:t>oblastima</a:t>
            </a:r>
            <a:endParaRPr lang="en-US" sz="1050" b="1" i="0" baseline="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2-5A5B-45ED-A9F5-DA73A46D9872}"/>
              </c:ext>
            </c:extLst>
          </c:dPt>
          <c:dPt>
            <c:idx val="2"/>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3-5A5B-45ED-A9F5-DA73A46D9872}"/>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A5B-45ED-A9F5-DA73A46D9872}"/>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A5B-45ED-A9F5-DA73A46D9872}"/>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A5B-45ED-A9F5-DA73A46D987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Sheet2!$E$100:$E$102</c:f>
              <c:strCache>
                <c:ptCount val="3"/>
                <c:pt idx="0">
                  <c:v>Demokratsko upravljanje </c:v>
                </c:pt>
                <c:pt idx="1">
                  <c:v>Opštinsko upravljanje </c:v>
                </c:pt>
                <c:pt idx="2">
                  <c:v>Pružanje usluga </c:v>
                </c:pt>
              </c:strCache>
            </c:strRef>
          </c:cat>
          <c:val>
            <c:numRef>
              <c:f>Sheet2!$F$100:$F$102</c:f>
              <c:numCache>
                <c:formatCode>0.00%</c:formatCode>
                <c:ptCount val="3"/>
                <c:pt idx="0">
                  <c:v>0.51580000000000004</c:v>
                </c:pt>
                <c:pt idx="1">
                  <c:v>0.33550000000000002</c:v>
                </c:pt>
                <c:pt idx="2">
                  <c:v>0.36320000000000002</c:v>
                </c:pt>
              </c:numCache>
            </c:numRef>
          </c:val>
          <c:extLst xmlns:c16r2="http://schemas.microsoft.com/office/drawing/2015/06/chart">
            <c:ext xmlns:c16="http://schemas.microsoft.com/office/drawing/2014/chart" uri="{C3380CC4-5D6E-409C-BE32-E72D297353CC}">
              <c16:uniqueId val="{00000000-5A5B-45ED-A9F5-DA73A46D9872}"/>
            </c:ext>
          </c:extLst>
        </c:ser>
        <c:dLbls>
          <c:showLegendKey val="0"/>
          <c:showVal val="0"/>
          <c:showCatName val="0"/>
          <c:showSerName val="0"/>
          <c:showPercent val="0"/>
          <c:showBubbleSize val="0"/>
        </c:dLbls>
        <c:gapWidth val="100"/>
        <c:overlap val="-27"/>
        <c:axId val="-516840544"/>
        <c:axId val="-516832928"/>
      </c:barChart>
      <c:catAx>
        <c:axId val="-51684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6832928"/>
        <c:crosses val="autoZero"/>
        <c:auto val="1"/>
        <c:lblAlgn val="ctr"/>
        <c:lblOffset val="100"/>
        <c:noMultiLvlLbl val="0"/>
      </c:catAx>
      <c:valAx>
        <c:axId val="-516832928"/>
        <c:scaling>
          <c:orientation val="minMax"/>
        </c:scaling>
        <c:delete val="1"/>
        <c:axPos val="l"/>
        <c:numFmt formatCode="0.00%" sourceLinked="1"/>
        <c:majorTickMark val="none"/>
        <c:minorTickMark val="none"/>
        <c:tickLblPos val="nextTo"/>
        <c:crossAx val="-51684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6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0.18286</cdr:y>
    </cdr:from>
    <cdr:to>
      <cdr:x>0.46831</cdr:x>
      <cdr:y>0.75143</cdr:y>
    </cdr:to>
    <cdr:sp macro="" textlink="">
      <cdr:nvSpPr>
        <cdr:cNvPr id="2" name="Text Box 1"/>
        <cdr:cNvSpPr txBox="1"/>
      </cdr:nvSpPr>
      <cdr:spPr>
        <a:xfrm xmlns:a="http://schemas.openxmlformats.org/drawingml/2006/main">
          <a:off x="0" y="468172"/>
          <a:ext cx="1367943" cy="1455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0.01503</cdr:x>
      <cdr:y>0.12851</cdr:y>
    </cdr:from>
    <cdr:to>
      <cdr:x>0.49798</cdr:x>
      <cdr:y>0.9865</cdr:y>
    </cdr:to>
    <cdr:sp macro="" textlink="">
      <cdr:nvSpPr>
        <cdr:cNvPr id="3" name="Text Box 2"/>
        <cdr:cNvSpPr txBox="1"/>
      </cdr:nvSpPr>
      <cdr:spPr>
        <a:xfrm xmlns:a="http://schemas.openxmlformats.org/drawingml/2006/main">
          <a:off x="57159" y="304800"/>
          <a:ext cx="1836666" cy="2034907"/>
        </a:xfrm>
        <a:prstGeom xmlns:a="http://schemas.openxmlformats.org/drawingml/2006/main" prst="rect">
          <a:avLst/>
        </a:prstGeom>
        <a:solidFill xmlns:a="http://schemas.openxmlformats.org/drawingml/2006/main">
          <a:schemeClr val="bg1"/>
        </a:solidFill>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endParaRPr lang="en-US" sz="500">
            <a:effectLst/>
            <a:latin typeface="+mn-lt"/>
            <a:ea typeface="+mn-ea"/>
            <a:cs typeface="+mn-cs"/>
          </a:endParaRPr>
        </a:p>
        <a:p xmlns:a="http://schemas.openxmlformats.org/drawingml/2006/main">
          <a:pPr algn="l"/>
          <a:r>
            <a:rPr lang="sr-Latn-RS" sz="750">
              <a:effectLst/>
              <a:latin typeface="+mn-lt"/>
              <a:ea typeface="+mn-ea"/>
              <a:cs typeface="+mn-cs"/>
            </a:rPr>
            <a:t>Opštine treba da su potrošile 75% ili više završnog budžeta za kapitalne investicije.</a:t>
          </a:r>
          <a:endParaRPr lang="en-US" sz="750">
            <a:effectLst/>
            <a:latin typeface="+mn-lt"/>
            <a:ea typeface="+mn-ea"/>
            <a:cs typeface="+mn-cs"/>
          </a:endParaRPr>
        </a:p>
        <a:p xmlns:a="http://schemas.openxmlformats.org/drawingml/2006/main">
          <a:pPr algn="l"/>
          <a:endParaRPr lang="en-US" sz="750">
            <a:effectLst/>
            <a:latin typeface="+mn-lt"/>
            <a:ea typeface="+mn-ea"/>
            <a:cs typeface="+mn-cs"/>
          </a:endParaRPr>
        </a:p>
        <a:p xmlns:a="http://schemas.openxmlformats.org/drawingml/2006/main">
          <a:pPr algn="l"/>
          <a:endParaRPr lang="en-US" sz="750">
            <a:effectLst/>
            <a:latin typeface="+mn-lt"/>
            <a:ea typeface="+mn-ea"/>
            <a:cs typeface="+mn-cs"/>
          </a:endParaRPr>
        </a:p>
        <a:p xmlns:a="http://schemas.openxmlformats.org/drawingml/2006/main">
          <a:pPr algn="l"/>
          <a:r>
            <a:rPr lang="sr-Latn-RS" sz="600">
              <a:effectLst/>
              <a:latin typeface="+mn-lt"/>
              <a:ea typeface="+mn-ea"/>
              <a:cs typeface="+mn-cs"/>
            </a:rPr>
            <a:t> </a:t>
          </a:r>
          <a:endParaRPr lang="en-US" sz="600">
            <a:effectLst/>
            <a:latin typeface="+mn-lt"/>
            <a:ea typeface="+mn-ea"/>
            <a:cs typeface="+mn-cs"/>
          </a:endParaRPr>
        </a:p>
        <a:p xmlns:a="http://schemas.openxmlformats.org/drawingml/2006/main">
          <a:pPr algn="l"/>
          <a:r>
            <a:rPr lang="sr-Latn-RS" sz="750">
              <a:effectLst/>
              <a:latin typeface="+mn-lt"/>
              <a:ea typeface="+mn-ea"/>
              <a:cs typeface="+mn-cs"/>
            </a:rPr>
            <a:t>Revizorsko mišljenje mora biti najmanje </a:t>
          </a:r>
          <a:r>
            <a:rPr lang="sr-Latn-RS" sz="700">
              <a:effectLst/>
              <a:latin typeface="+mn-lt"/>
              <a:ea typeface="+mn-ea"/>
              <a:cs typeface="+mn-cs"/>
            </a:rPr>
            <a:t>nemodifikovano</a:t>
          </a:r>
          <a:r>
            <a:rPr lang="sr-Latn-RS" sz="750">
              <a:effectLst/>
              <a:latin typeface="+mn-lt"/>
              <a:ea typeface="+mn-ea"/>
              <a:cs typeface="+mn-cs"/>
            </a:rPr>
            <a:t> sa naglaskom na pitanje.</a:t>
          </a:r>
          <a:endParaRPr lang="en-US" sz="750">
            <a:effectLst/>
            <a:latin typeface="+mn-lt"/>
            <a:ea typeface="+mn-ea"/>
            <a:cs typeface="+mn-cs"/>
          </a:endParaRPr>
        </a:p>
        <a:p xmlns:a="http://schemas.openxmlformats.org/drawingml/2006/main">
          <a:pPr algn="l"/>
          <a:endParaRPr lang="en-US" sz="750">
            <a:effectLst/>
            <a:latin typeface="+mn-lt"/>
            <a:ea typeface="+mn-ea"/>
            <a:cs typeface="+mn-cs"/>
          </a:endParaRPr>
        </a:p>
        <a:p xmlns:a="http://schemas.openxmlformats.org/drawingml/2006/main">
          <a:pPr algn="l"/>
          <a:r>
            <a:rPr lang="sr-Latn-RS" sz="600">
              <a:effectLst/>
              <a:latin typeface="+mn-lt"/>
              <a:ea typeface="+mn-ea"/>
              <a:cs typeface="+mn-cs"/>
            </a:rPr>
            <a:t> </a:t>
          </a:r>
          <a:endParaRPr lang="en-US" sz="600">
            <a:effectLst/>
            <a:latin typeface="+mn-lt"/>
            <a:ea typeface="+mn-ea"/>
            <a:cs typeface="+mn-cs"/>
          </a:endParaRPr>
        </a:p>
        <a:p xmlns:a="http://schemas.openxmlformats.org/drawingml/2006/main">
          <a:pPr algn="l"/>
          <a:endParaRPr lang="en-US" sz="600">
            <a:effectLst/>
            <a:latin typeface="+mn-lt"/>
            <a:ea typeface="+mn-ea"/>
            <a:cs typeface="+mn-cs"/>
          </a:endParaRPr>
        </a:p>
        <a:p xmlns:a="http://schemas.openxmlformats.org/drawingml/2006/main">
          <a:pPr algn="l"/>
          <a:r>
            <a:rPr lang="sr-Latn-RS" sz="750">
              <a:effectLst/>
              <a:latin typeface="+mn-lt"/>
              <a:ea typeface="+mn-ea"/>
              <a:cs typeface="+mn-cs"/>
            </a:rPr>
            <a:t>Opštine moraju poštovati zakonsku obavezu da pregledaju opštinske akte koje je nadzorni organ procenio kao nezakonite</a:t>
          </a:r>
          <a:endParaRPr lang="en-US" sz="750">
            <a:effectLst/>
            <a:latin typeface="+mn-lt"/>
            <a:ea typeface="+mn-ea"/>
            <a:cs typeface="+mn-cs"/>
          </a:endParaRPr>
        </a:p>
        <a:p xmlns:a="http://schemas.openxmlformats.org/drawingml/2006/main">
          <a:pPr algn="l"/>
          <a:endParaRPr lang="en-US" sz="600">
            <a:effectLst/>
            <a:latin typeface="+mn-lt"/>
            <a:ea typeface="+mn-ea"/>
            <a:cs typeface="+mn-cs"/>
          </a:endParaRPr>
        </a:p>
        <a:p xmlns:a="http://schemas.openxmlformats.org/drawingml/2006/main">
          <a:pPr algn="l"/>
          <a:endParaRPr lang="en-US" sz="600">
            <a:effectLst/>
            <a:latin typeface="+mn-lt"/>
            <a:ea typeface="+mn-ea"/>
            <a:cs typeface="+mn-cs"/>
          </a:endParaRPr>
        </a:p>
        <a:p xmlns:a="http://schemas.openxmlformats.org/drawingml/2006/main">
          <a:pPr algn="l"/>
          <a:r>
            <a:rPr lang="sr-Latn-RS" sz="750">
              <a:effectLst/>
              <a:latin typeface="+mn-lt"/>
              <a:ea typeface="+mn-ea"/>
              <a:cs typeface="+mn-cs"/>
            </a:rPr>
            <a:t>Opštine treba da su izveštavale podatke u SUOU u skladu sa predviđenim rokom.</a:t>
          </a:r>
          <a:endParaRPr lang="en-US" sz="75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8794-ED62-4768-8110-5B85A094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11031</Words>
  <Characters>62878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Saranda Husaj</dc:creator>
  <cp:keywords/>
  <dc:description/>
  <cp:lastModifiedBy>Ilija Savic</cp:lastModifiedBy>
  <cp:revision>2</cp:revision>
  <dcterms:created xsi:type="dcterms:W3CDTF">2026-07-01T13:23:00Z</dcterms:created>
  <dcterms:modified xsi:type="dcterms:W3CDTF">2026-07-01T13:23:00Z</dcterms:modified>
</cp:coreProperties>
</file>